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800" w:after="240" w:line="324" w:lineRule="auto"/>
        <w:jc w:val="center"/>
      </w:pPr>
      <w:r>
        <w:rPr>
          <w:rFonts w:ascii="Times New Roman" w:hAnsi="Times New Roman" w:eastAsia="宋体"/>
          <w:b/>
          <w:color w:val="1F4E79"/>
          <w:sz w:val="20"/>
        </w:rPr>
        <w:t>M01 合同基础设施 · 可填写模板</w:t>
      </w:r>
    </w:p>
    <w:p>
      <w:pPr>
        <w:keepNext w:val="0"/>
        <w:spacing w:before="0" w:after="160" w:line="264" w:lineRule="auto"/>
        <w:jc w:val="center"/>
      </w:pPr>
      <w:r>
        <w:rPr>
          <w:rFonts w:ascii="Times New Roman" w:hAnsi="Times New Roman" w:eastAsia="宋体"/>
          <w:b/>
          <w:color w:val="1F2937"/>
          <w:sz w:val="56"/>
        </w:rPr>
        <w:t>双向保密协议</w:t>
      </w:r>
    </w:p>
    <w:p>
      <w:pPr>
        <w:keepNext w:val="0"/>
        <w:spacing w:before="0" w:after="200" w:line="324" w:lineRule="auto"/>
        <w:jc w:val="center"/>
      </w:pPr>
      <w:r>
        <w:rPr>
          <w:rFonts w:ascii="Times New Roman" w:hAnsi="Times New Roman" w:eastAsia="宋体"/>
          <w:b w:val="0"/>
          <w:color w:val="595959"/>
          <w:sz w:val="22"/>
        </w:rPr>
        <w:t>MUTUAL NON-DISCLOSURE AGREEMENT  ·  境内企业合作评估</w:t>
      </w:r>
    </w:p>
    <w:tbl>
      <w:tblPr>
        <w:tblW w:type="auto" w:w="0"/>
        <w:jc w:val="center"/>
        <w:tblLook w:firstColumn="1" w:firstRow="1" w:lastColumn="0" w:lastRow="0" w:noHBand="0" w:noVBand="1" w:val="04A0"/>
      </w:tblPr>
      <w:tblGrid>
        <w:gridCol w:w="9412"/>
      </w:tblGrid>
      <w:tr>
        <w:tc>
          <w:tcPr>
            <w:tcW w:type="dxa" w:w="6803"/>
            <w:shd w:fill="1F4E79"/>
          </w:tcPr>
          <w:p>
            <w:pPr>
              <w:spacing w:after="0"/>
            </w:pPr>
            <w:r>
              <w:rPr>
                <w:sz w:val="4"/>
              </w:rPr>
              <w:t xml:space="preserve"> </w:t>
            </w:r>
          </w:p>
        </w:tc>
      </w:tr>
    </w:tbl>
    <w:p>
      <w:pPr>
        <w:keepNext w:val="0"/>
        <w:spacing w:before="0" w:after="0" w:line="40" w:lineRule="exact"/>
      </w:pP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381"/>
            <w:vAlign w:val="center"/>
            <w:tcMar>
              <w:top w:w="60" w:type="dxa"/>
              <w:start w:w="90" w:type="dxa"/>
              <w:bottom w:w="60" w:type="dxa"/>
              <w:end w:w="90" w:type="dxa"/>
            </w:tcMar>
            <w:shd w:fill="2E4B66"/>
          </w:tcPr>
          <w:p>
            <w:pPr>
              <w:spacing w:after="0"/>
              <w:jc w:val="center"/>
            </w:pPr>
            <w:r>
              <w:rPr>
                <w:rFonts w:ascii="黑体" w:hAnsi="黑体" w:eastAsia="黑体"/>
                <w:b/>
                <w:color w:val="FFFFFF"/>
                <w:sz w:val="18"/>
              </w:rPr>
              <w:t>文件信息</w:t>
            </w:r>
          </w:p>
        </w:tc>
        <w:tc>
          <w:tcPr>
            <w:tcW w:type="dxa" w:w="5953"/>
            <w:vAlign w:val="center"/>
            <w:tcMar>
              <w:top w:w="60" w:type="dxa"/>
              <w:start w:w="90" w:type="dxa"/>
              <w:bottom w:w="60" w:type="dxa"/>
              <w:end w:w="90" w:type="dxa"/>
            </w:tcMar>
            <w:shd w:fill="2E4B66"/>
          </w:tcPr>
          <w:p>
            <w:pPr>
              <w:spacing w:after="0"/>
              <w:jc w:val="center"/>
            </w:pPr>
            <w:r>
              <w:rPr>
                <w:rFonts w:ascii="黑体" w:hAnsi="黑体" w:eastAsia="黑体"/>
                <w:b/>
                <w:color w:val="FFFFFF"/>
                <w:sz w:val="18"/>
              </w:rPr>
              <w:t>内容</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模板编号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TPL-NDA-MUT-01</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模板版本</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v1.1（2026-10-30 生效；替代 v0.1）</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适用交易</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中国境内企业之间为评估合作而双向交换非公开信息；不交换个人信息，不涉及跨境传输</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我方角色</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披露方与接收方，随每一次披露变化</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文件组成</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填写说明、重要条款提示、协议正文、附件一披露清单、附件二接收人员与关联方、附件三返还销毁证明、签署页</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配套文件</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template-family-v1.1.md、clause-playbook-v1.1.md、approval-register-v1.1.xlsx、signing-performance-sop-v1.1.md</w:t>
            </w:r>
          </w:p>
        </w:tc>
      </w:tr>
    </w:tbl>
    <w:p>
      <w:pPr>
        <w:spacing w:after="0" w:before="0" w:line="40" w:lineRule="exact"/>
      </w:pPr>
    </w:p>
    <w:p>
      <w:pPr>
        <w:keepNext w:val="0"/>
        <w:spacing w:before="0" w:after="0" w:line="40" w:lineRule="exact"/>
      </w:pPr>
    </w:p>
    <w:tbl>
      <w:tblPr>
        <w:tblW w:type="auto" w:w="0"/>
        <w:jc w:val="center"/>
        <w:tblLook w:firstColumn="1" w:firstRow="1" w:lastColumn="0" w:lastRow="0" w:noHBand="0" w:noVBand="1" w:val="04A0"/>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Grid>
        <w:gridCol w:w="9412"/>
      </w:tblGrid>
      <w:tr>
        <w:tc>
          <w:tcPr>
            <w:tcW w:type="dxa" w:w="9412"/>
            <w:tcMar>
              <w:top w:w="90" w:type="dxa"/>
              <w:start w:w="140" w:type="dxa"/>
              <w:bottom w:w="90" w:type="dxa"/>
              <w:end w:w="140" w:type="dxa"/>
            </w:tcMar>
            <w:shd w:fill="FCE4D6"/>
          </w:tcPr>
          <w:p>
            <w:pPr>
              <w:spacing w:after="40"/>
            </w:pPr>
            <w:r>
              <w:rPr>
                <w:rFonts w:ascii="黑体" w:hAnsi="黑体" w:eastAsia="黑体"/>
                <w:b/>
                <w:color w:val="1F4E79"/>
                <w:sz w:val="19"/>
              </w:rPr>
              <w:t>使用前必读</w:t>
            </w:r>
          </w:p>
          <w:p>
            <w:pPr>
              <w:spacing w:after="20" w:line="300" w:lineRule="auto"/>
            </w:pPr>
            <w:r>
              <w:rPr>
                <w:rFonts w:ascii="Times New Roman" w:hAnsi="Times New Roman" w:eastAsia="宋体"/>
                <w:sz w:val="18"/>
              </w:rPr>
              <w:t>本文件是模拟模板，不构成法律意见，也不代表任何真实公司的制度。</w:t>
            </w:r>
          </w:p>
          <w:p>
            <w:pPr>
              <w:spacing w:after="20" w:line="300" w:lineRule="auto"/>
            </w:pPr>
            <w:r>
              <w:rPr>
                <w:rFonts w:ascii="Times New Roman" w:hAnsi="Times New Roman" w:eastAsia="宋体"/>
                <w:sz w:val="18"/>
              </w:rPr>
              <w:t>签署前必须完成主体、权限、专项和审批核验；协议中的【】是填写位置，不得留空签署。</w:t>
            </w:r>
          </w:p>
          <w:p>
            <w:pPr>
              <w:spacing w:after="20" w:line="300" w:lineRule="auto"/>
            </w:pPr>
            <w:r>
              <w:rPr>
                <w:rFonts w:ascii="Times New Roman" w:hAnsi="Times New Roman" w:eastAsia="宋体"/>
                <w:sz w:val="18"/>
              </w:rPr>
              <w:t>本模板不适用于个人信息处理、跨境传输、竞业限制、排他交易、知识产权许可或软件许可。出现上述情形应暂停并转专项。</w:t>
            </w:r>
          </w:p>
          <w:p>
            <w:pPr>
              <w:spacing w:after="20" w:line="300" w:lineRule="auto"/>
            </w:pPr>
            <w:r>
              <w:rPr>
                <w:rFonts w:ascii="Times New Roman" w:hAnsi="Times New Roman" w:eastAsia="宋体"/>
                <w:sz w:val="18"/>
              </w:rPr>
              <w:t>填写说明和封面在正式签署文本中移除；“重要条款提示”、协议正文、附件和签署页应随签署文本保留。</w:t>
            </w:r>
          </w:p>
        </w:tc>
      </w:tr>
    </w:tbl>
    <w:p>
      <w:pPr>
        <w:spacing w:after="0" w:before="0" w:line="40" w:lineRule="exact"/>
      </w:pPr>
    </w:p>
    <w:p>
      <w:pPr>
        <w:keepNext w:val="0"/>
        <w:spacing w:before="0" w:after="0" w:line="40" w:lineRule="exact"/>
      </w:pPr>
    </w:p>
    <w:p>
      <w:pPr>
        <w:keepNext w:val="0"/>
        <w:spacing w:before="0" w:after="80" w:line="324" w:lineRule="auto"/>
        <w:jc w:val="center"/>
      </w:pPr>
      <w:r>
        <w:rPr>
          <w:rFonts w:ascii="Times New Roman" w:hAnsi="Times New Roman" w:eastAsia="宋体"/>
          <w:b w:val="0"/>
          <w:color w:val="7F7F7F"/>
          <w:sz w:val="18"/>
        </w:rPr>
        <w:t>版本 v1.1  ·  2026-10-30</w:t>
      </w:r>
    </w:p>
    <w:p>
      <w:pPr>
        <w:pStyle w:val="Heading1"/>
        <w:pageBreakBefore/>
      </w:pPr>
      <w:r>
        <w:t>填写说明（签署时移除本说明和封面）</w:t>
      </w:r>
    </w:p>
    <w:p>
      <w:pPr>
        <w:keepNext w:val="0"/>
        <w:spacing w:before="0" w:after="60" w:line="300" w:lineRule="auto"/>
      </w:pPr>
      <w:r>
        <w:rPr>
          <w:rFonts w:ascii="Times New Roman" w:hAnsi="Times New Roman" w:eastAsia="宋体"/>
          <w:b w:val="0"/>
          <w:color w:val="404040"/>
          <w:sz w:val="19"/>
        </w:rPr>
        <w:t>本说明是模板的使用手册，不是合同正文。正式签署时，应移除封面和本说明，保留“重要条款提示”、协议正文、附件一至三和签署页。如双方约定将本说明作为附件，应在签署页附件清单中列明。</w:t>
      </w:r>
    </w:p>
    <w:p>
      <w:pPr>
        <w:pStyle w:val="Heading2"/>
      </w:pPr>
      <w:r>
        <w:t>一、使用顺序</w:t>
      </w:r>
    </w:p>
    <w:p>
      <w:pPr>
        <w:pStyle w:val="ListNumber"/>
        <w:spacing w:after="40" w:line="312" w:lineRule="auto"/>
      </w:pPr>
      <w:r>
        <w:rPr>
          <w:rFonts w:ascii="Times New Roman" w:hAnsi="Times New Roman" w:eastAsia="宋体"/>
          <w:sz w:val="21"/>
        </w:rPr>
        <w:t>选模板：确认交易仅为评估合作、交换非公开信息，双方都可能披露和接收；不涉及个人信息、跨境、竞业、排他、知识产权许可或软件许可。</w:t>
      </w:r>
    </w:p>
    <w:p>
      <w:pPr>
        <w:pStyle w:val="ListNumber"/>
        <w:spacing w:after="40" w:line="312" w:lineRule="auto"/>
      </w:pPr>
      <w:r>
        <w:rPr>
          <w:rFonts w:ascii="Times New Roman" w:hAnsi="Times New Roman" w:eastAsia="宋体"/>
          <w:sz w:val="21"/>
        </w:rPr>
        <w:t>核主体与权限：核对双方登记名称、登记状态、签署人授权范围和授权期限；品牌名、简称、未登记分支机构不能作为签约主体。</w:t>
      </w:r>
    </w:p>
    <w:p>
      <w:pPr>
        <w:pStyle w:val="ListNumber"/>
        <w:spacing w:after="40" w:line="312" w:lineRule="auto"/>
      </w:pPr>
      <w:r>
        <w:rPr>
          <w:rFonts w:ascii="Times New Roman" w:hAnsi="Times New Roman" w:eastAsia="宋体"/>
          <w:sz w:val="21"/>
        </w:rPr>
        <w:t>填变量：只填写【】中的主体、日期、人员、地址、金额上限等批准变量；条款文字需要改动时，先登记偏离，不得边填边改。</w:t>
      </w:r>
    </w:p>
    <w:p>
      <w:pPr>
        <w:pStyle w:val="ListNumber"/>
        <w:spacing w:after="40" w:line="312" w:lineRule="auto"/>
      </w:pPr>
      <w:r>
        <w:rPr>
          <w:rFonts w:ascii="Times New Roman" w:hAnsi="Times New Roman" w:eastAsia="宋体"/>
          <w:sz w:val="21"/>
        </w:rPr>
        <w:t>定分类：在附件一逐次记录披露方、接收方、披露时间、信息类别和保密标识；普通保密信息与商业秘密分别标注。</w:t>
      </w:r>
    </w:p>
    <w:p>
      <w:pPr>
        <w:pStyle w:val="ListNumber"/>
        <w:spacing w:after="40" w:line="312" w:lineRule="auto"/>
      </w:pPr>
      <w:r>
        <w:rPr>
          <w:rFonts w:ascii="Times New Roman" w:hAnsi="Times New Roman" w:eastAsia="宋体"/>
          <w:sz w:val="21"/>
        </w:rPr>
        <w:t>走审批：NDA 没有价款，金额口径填“不适用”并留空，不填 0；存在实质偏离、专项风险或超出可让步范围时按审批表路由。</w:t>
      </w:r>
    </w:p>
    <w:p>
      <w:pPr>
        <w:pStyle w:val="ListNumber"/>
        <w:spacing w:after="40" w:line="312" w:lineRule="auto"/>
      </w:pPr>
      <w:r>
        <w:rPr>
          <w:rFonts w:ascii="Times New Roman" w:hAnsi="Times New Roman" w:eastAsia="宋体"/>
          <w:sz w:val="21"/>
        </w:rPr>
        <w:t>锁版本：审批绑定具体合同版本；签署前发生实质修改，更新版本并重新核验。</w:t>
      </w:r>
    </w:p>
    <w:p>
      <w:pPr>
        <w:pStyle w:val="ListNumber"/>
        <w:spacing w:after="40" w:line="312" w:lineRule="auto"/>
      </w:pPr>
      <w:r>
        <w:rPr>
          <w:rFonts w:ascii="Times New Roman" w:hAnsi="Times New Roman" w:eastAsia="宋体"/>
          <w:sz w:val="21"/>
        </w:rPr>
        <w:t>留证据：保存完整签署文本、授权文件、披露清单、访问记录、返还销毁证明和电子签证据。</w:t>
      </w:r>
    </w:p>
    <w:p>
      <w:pPr>
        <w:pStyle w:val="Heading2"/>
      </w:pPr>
      <w:r>
        <w:t>二、必填字段</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1984"/>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字段</w:t>
            </w:r>
          </w:p>
        </w:tc>
        <w:tc>
          <w:tcPr>
            <w:tcW w:type="dxa" w:w="243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填写位置</w:t>
            </w:r>
          </w:p>
        </w:tc>
        <w:tc>
          <w:tcPr>
            <w:tcW w:type="dxa" w:w="4876"/>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要求</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合同编号</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封面/首部</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唯一编号；模拟数据使用 SIM- 前缀</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甲方、乙方</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首部、签署页</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与营业执照、用印主体一致；不使用品牌名或简称</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评估目的</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鉴于条款、第 3.1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写到具体项目和评估范围，不写“合作”“未来可能合作”</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协议有效期</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5.1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协议本身的有效期间</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披露期间</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5.1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可以披露信息的起止时间，可与协议有效期不同</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普通信息保密期限</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5.2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默认 3 年，自每一次披露之日起算；可让步至 2 年</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商业秘密</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5.3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按法定条件持续保护，不概括写“永久”</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允许接收人员</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4 条、附件二</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岗位或名单；关联方、顾问分别列明</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通知对象</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11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部门或岗位邮箱，不写个人手机号</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争议解决</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14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境内法院；核对实际联系、级别管辖和专属管辖</w:t>
            </w:r>
          </w:p>
        </w:tc>
      </w:tr>
      <w:tr>
        <w:trPr>
          <w:cantSplit/>
        </w:trPr>
        <w:tc>
          <w:tcPr>
            <w:tcW w:type="dxa" w:w="1984"/>
            <w:vAlign w:val="center"/>
            <w:tcMar>
              <w:top w:w="60" w:type="dxa"/>
              <w:start w:w="90" w:type="dxa"/>
              <w:bottom w:w="60" w:type="dxa"/>
              <w:end w:w="90" w:type="dxa"/>
            </w:tcMar>
          </w:tcPr>
          <w:p>
            <w:pPr>
              <w:spacing w:after="0" w:line="276" w:lineRule="auto"/>
            </w:pPr>
            <w:r>
              <w:rPr>
                <w:rFonts w:ascii="Times New Roman" w:hAnsi="Times New Roman" w:eastAsia="宋体"/>
                <w:b/>
                <w:sz w:val="18"/>
              </w:rPr>
              <w:t>责任上限</w:t>
            </w:r>
          </w:p>
        </w:tc>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8.4 条</w:t>
            </w:r>
          </w:p>
        </w:tc>
        <w:tc>
          <w:tcPr>
            <w:tcW w:type="dxa" w:w="4876"/>
            <w:vAlign w:val="center"/>
            <w:tcMar>
              <w:top w:w="60" w:type="dxa"/>
              <w:start w:w="90" w:type="dxa"/>
              <w:bottom w:w="60" w:type="dxa"/>
              <w:end w:w="90" w:type="dxa"/>
            </w:tcMar>
          </w:tcPr>
          <w:p>
            <w:pPr>
              <w:spacing w:after="0" w:line="276" w:lineRule="auto"/>
            </w:pPr>
            <w:r>
              <w:rPr>
                <w:rFonts w:ascii="Times New Roman" w:hAnsi="Times New Roman" w:eastAsia="宋体"/>
                <w:b w:val="0"/>
                <w:sz w:val="18"/>
              </w:rPr>
              <w:t>仅适用于普通保密信息；故意、重大过失、商业秘密侵权等不适用</w:t>
            </w:r>
          </w:p>
        </w:tc>
      </w:tr>
    </w:tbl>
    <w:p>
      <w:pPr>
        <w:spacing w:after="60" w:line="300" w:lineRule="auto"/>
      </w:pPr>
    </w:p>
    <w:p>
      <w:pPr>
        <w:pStyle w:val="Heading2"/>
      </w:pPr>
      <w:r>
        <w:t>三、三种操作必须分开</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2353"/>
        <w:gridCol w:w="2353"/>
        <w:gridCol w:w="2353"/>
        <w:gridCol w:w="2353"/>
      </w:tblGrid>
      <w:tr>
        <w:trPr>
          <w:tblHeader w:val="true"/>
        </w:trPr>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操作</w:t>
            </w:r>
          </w:p>
        </w:tc>
        <w:tc>
          <w:tcPr>
            <w:tcW w:type="dxa" w:w="283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允许做什么</w:t>
            </w:r>
          </w:p>
        </w:tc>
        <w:tc>
          <w:tcPr>
            <w:tcW w:type="dxa" w:w="2721"/>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不能做什么</w:t>
            </w:r>
          </w:p>
        </w:tc>
        <w:tc>
          <w:tcPr>
            <w:tcW w:type="dxa" w:w="2154"/>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记录</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8"/>
              </w:rPr>
              <w:t>A 填写变量</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填写主体、日期、人员、地址、比例等预留字段</w:t>
            </w:r>
          </w:p>
        </w:tc>
        <w:tc>
          <w:tcPr>
            <w:tcW w:type="dxa" w:w="2721"/>
            <w:vAlign w:val="center"/>
            <w:tcMar>
              <w:top w:w="60" w:type="dxa"/>
              <w:start w:w="90" w:type="dxa"/>
              <w:bottom w:w="60" w:type="dxa"/>
              <w:end w:w="90" w:type="dxa"/>
            </w:tcMar>
          </w:tcPr>
          <w:p>
            <w:pPr>
              <w:spacing w:after="0" w:line="276" w:lineRule="auto"/>
            </w:pPr>
            <w:r>
              <w:rPr>
                <w:rFonts w:ascii="Times New Roman" w:hAnsi="Times New Roman" w:eastAsia="宋体"/>
                <w:b w:val="0"/>
                <w:sz w:val="18"/>
              </w:rPr>
              <w:t>不改条款文字，不新增义务</w:t>
            </w:r>
          </w:p>
        </w:tc>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8"/>
              </w:rPr>
              <w:t>合同台账记录模板版本和填写值</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8"/>
              </w:rPr>
              <w:t>B 采用备选条款</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从条款库选择完整备选文字并满足接受条件</w:t>
            </w:r>
          </w:p>
        </w:tc>
        <w:tc>
          <w:tcPr>
            <w:tcW w:type="dxa" w:w="2721"/>
            <w:vAlign w:val="center"/>
            <w:tcMar>
              <w:top w:w="60" w:type="dxa"/>
              <w:start w:w="90" w:type="dxa"/>
              <w:bottom w:w="60" w:type="dxa"/>
              <w:end w:w="90" w:type="dxa"/>
            </w:tcMar>
          </w:tcPr>
          <w:p>
            <w:pPr>
              <w:spacing w:after="0" w:line="276" w:lineRule="auto"/>
            </w:pPr>
            <w:r>
              <w:rPr>
                <w:rFonts w:ascii="Times New Roman" w:hAnsi="Times New Roman" w:eastAsia="宋体"/>
                <w:b w:val="0"/>
                <w:sz w:val="18"/>
              </w:rPr>
              <w:t>不把备选文字与默认文字拼接</w:t>
            </w:r>
          </w:p>
        </w:tc>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8"/>
              </w:rPr>
              <w:t>偏离明细登记；至少 R2 法务审查</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8"/>
              </w:rPr>
              <w:t>C 实质偏离</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提出新增、删除、改写条款</w:t>
            </w:r>
          </w:p>
        </w:tc>
        <w:tc>
          <w:tcPr>
            <w:tcW w:type="dxa" w:w="2721"/>
            <w:vAlign w:val="center"/>
            <w:tcMar>
              <w:top w:w="60" w:type="dxa"/>
              <w:start w:w="90" w:type="dxa"/>
              <w:bottom w:w="60" w:type="dxa"/>
              <w:end w:w="90" w:type="dxa"/>
            </w:tcMar>
          </w:tcPr>
          <w:p>
            <w:pPr>
              <w:spacing w:after="0" w:line="276" w:lineRule="auto"/>
            </w:pPr>
            <w:r>
              <w:rPr>
                <w:rFonts w:ascii="Times New Roman" w:hAnsi="Times New Roman" w:eastAsia="宋体"/>
                <w:b w:val="0"/>
                <w:sz w:val="18"/>
              </w:rPr>
              <w:t>不自行定稿，不伪装成填空</w:t>
            </w:r>
          </w:p>
        </w:tc>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8"/>
              </w:rPr>
              <w:t>偏离明细登记基准文字、最终文字、影响和补偿</w:t>
            </w:r>
          </w:p>
        </w:tc>
      </w:tr>
    </w:tbl>
    <w:p>
      <w:pPr>
        <w:spacing w:after="60" w:line="300" w:lineRule="auto"/>
      </w:pPr>
    </w:p>
    <w:p>
      <w:pPr>
        <w:pStyle w:val="Heading2"/>
      </w:pPr>
      <w:r>
        <w:t>四、异常条款提示</w:t>
      </w:r>
    </w:p>
    <w:p>
      <w:pPr>
        <w:keepNext w:val="0"/>
        <w:spacing w:before="0" w:after="60" w:line="300" w:lineRule="auto"/>
      </w:pPr>
      <w:r>
        <w:rPr>
          <w:rFonts w:ascii="Times New Roman" w:hAnsi="Times New Roman" w:eastAsia="宋体"/>
          <w:b w:val="0"/>
          <w:sz w:val="19"/>
        </w:rPr>
        <w:t>第 5 条（保密期限）、第 8 条（责任限制）、第 14 条（争议解决）属于对双方权利义务有重大影响的条款。出现下列情形，属于异常或高风险安排，至少进入 R2，必要时暂停：</w:t>
      </w:r>
    </w:p>
    <w:p>
      <w:pPr>
        <w:pStyle w:val="ListBullet"/>
        <w:spacing w:after="40" w:line="312" w:lineRule="auto"/>
      </w:pPr>
      <w:r>
        <w:rPr>
          <w:rFonts w:ascii="Times New Roman" w:hAnsi="Times New Roman" w:eastAsia="宋体"/>
          <w:sz w:val="19"/>
        </w:rPr>
        <w:t>要求全部信息“永久保密”，不区分普通保密信息与商业秘密；</w:t>
      </w:r>
    </w:p>
    <w:p>
      <w:pPr>
        <w:pStyle w:val="ListBullet"/>
        <w:spacing w:after="40" w:line="312" w:lineRule="auto"/>
      </w:pPr>
      <w:r>
        <w:rPr>
          <w:rFonts w:ascii="Times New Roman" w:hAnsi="Times New Roman" w:eastAsia="宋体"/>
          <w:sz w:val="19"/>
        </w:rPr>
        <w:t>要求接收方放弃故意、重大过失、商业秘密侵权或人身损害责任；</w:t>
      </w:r>
    </w:p>
    <w:p>
      <w:pPr>
        <w:pStyle w:val="ListBullet"/>
        <w:spacing w:after="40" w:line="312" w:lineRule="auto"/>
      </w:pPr>
      <w:r>
        <w:rPr>
          <w:rFonts w:ascii="Times New Roman" w:hAnsi="Times New Roman" w:eastAsia="宋体"/>
          <w:sz w:val="19"/>
        </w:rPr>
        <w:t>要求无限责任、惩罚性赔偿，或由一方单方认定损失金额；</w:t>
      </w:r>
    </w:p>
    <w:p>
      <w:pPr>
        <w:pStyle w:val="ListBullet"/>
        <w:spacing w:after="40" w:line="312" w:lineRule="auto"/>
      </w:pPr>
      <w:r>
        <w:rPr>
          <w:rFonts w:ascii="Times New Roman" w:hAnsi="Times New Roman" w:eastAsia="宋体"/>
          <w:sz w:val="19"/>
        </w:rPr>
        <w:t>要求接收方接受与其没有实际联系地点的专属管辖；</w:t>
      </w:r>
    </w:p>
    <w:p>
      <w:pPr>
        <w:pStyle w:val="ListBullet"/>
        <w:spacing w:after="40" w:line="312" w:lineRule="auto"/>
      </w:pPr>
      <w:r>
        <w:rPr>
          <w:rFonts w:ascii="Times New Roman" w:hAnsi="Times New Roman" w:eastAsia="宋体"/>
          <w:sz w:val="19"/>
        </w:rPr>
        <w:t>要求在 NDA 中夹带竞业限制、排他交易、最低采购、知识产权许可、个人信息处理授权或模型训练授权；</w:t>
      </w:r>
    </w:p>
    <w:p>
      <w:pPr>
        <w:pStyle w:val="ListBullet"/>
        <w:spacing w:after="40" w:line="312" w:lineRule="auto"/>
      </w:pPr>
      <w:r>
        <w:rPr>
          <w:rFonts w:ascii="Times New Roman" w:hAnsi="Times New Roman" w:eastAsia="宋体"/>
          <w:sz w:val="19"/>
        </w:rPr>
        <w:t>要求接收方对未标注、与目的无关的信息承担无限期保密义务，且不允许任何例外。</w:t>
      </w:r>
    </w:p>
    <w:p>
      <w:pPr>
        <w:keepNext w:val="0"/>
        <w:spacing w:before="0" w:after="60" w:line="300" w:lineRule="auto"/>
      </w:pPr>
      <w:r>
        <w:rPr>
          <w:rFonts w:ascii="Times New Roman" w:hAnsi="Times New Roman" w:eastAsia="宋体"/>
          <w:b w:val="0"/>
          <w:sz w:val="19"/>
        </w:rPr>
        <w:t>说明记录位置：审批记录的“批准条件”和偏离明细的“影响/补偿措施”。口头说明应记录说明对象、时间、方式和对方确认情况。</w:t>
      </w:r>
    </w:p>
    <w:p>
      <w:pPr>
        <w:pStyle w:val="Heading2"/>
      </w:pPr>
      <w:r>
        <w:t>五、签署与份数</w:t>
      </w:r>
    </w:p>
    <w:p>
      <w:pPr>
        <w:keepNext w:val="0"/>
        <w:spacing w:before="0" w:after="60" w:line="300" w:lineRule="auto"/>
      </w:pPr>
      <w:r>
        <w:rPr>
          <w:rFonts w:ascii="Times New Roman" w:hAnsi="Times New Roman" w:eastAsia="宋体"/>
          <w:b w:val="0"/>
          <w:sz w:val="19"/>
        </w:rPr>
        <w:t>本协议一式两份，双方各执一份，具有同等效力。双方可以采用纸质签署，也可以采用可靠电子签名。采用电子签名时，应保存可验证的原始文件、签署人身份与授权、签署日志、文件完整性和签署过程证据。时间戳、哈希、存证编号属于证据管理措施，不是所有合同一律适用的法定成立条件；电子签名是否可靠、文书是否属于可适用电子形式的范围，仍按《电子签名法》和具体交易判断。</w:t>
      </w:r>
    </w:p>
    <w:p>
      <w:pPr>
        <w:keepNext w:val="0"/>
        <w:spacing w:before="0" w:after="60" w:line="300" w:lineRule="auto"/>
      </w:pPr>
      <w:r>
        <w:rPr>
          <w:rFonts w:ascii="Times New Roman" w:hAnsi="Times New Roman" w:eastAsia="宋体"/>
          <w:b w:val="0"/>
          <w:sz w:val="19"/>
        </w:rPr>
        <w:t>双方可以约定合同生效条件（例如最后一方签署、先决条件完成），但约定不得违反法律、行政法规的强制性规定。纸质签署与电子签署的效力判断相互独立，不因采用电子形式而当然否定效力。</w:t>
      </w:r>
    </w:p>
    <w:p>
      <w:pPr>
        <w:spacing w:after="60" w:line="300" w:lineRule="auto"/>
      </w:pPr>
      <w:r>
        <w:br w:type="page"/>
      </w:r>
    </w:p>
    <w:p>
      <w:pPr>
        <w:pStyle w:val="Heading1"/>
      </w:pPr>
      <w:r>
        <w:t>重要条款提示（随签署文本保留）</w:t>
      </w:r>
    </w:p>
    <w:p>
      <w:pPr>
        <w:keepNext w:val="0"/>
        <w:spacing w:before="0" w:after="60" w:line="300" w:lineRule="auto"/>
      </w:pPr>
      <w:r>
        <w:rPr>
          <w:rFonts w:ascii="Times New Roman" w:hAnsi="Times New Roman" w:eastAsia="宋体"/>
          <w:b w:val="0"/>
          <w:color w:val="404040"/>
          <w:sz w:val="19"/>
        </w:rPr>
        <w:t>请双方在签署前阅读以下条款。以下提示不改变正文含义；如提示与正文不一致，以正文为准。</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43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条款</w:t>
            </w:r>
          </w:p>
        </w:tc>
        <w:tc>
          <w:tcPr>
            <w:tcW w:type="dxa" w:w="4082"/>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为什么重要</w:t>
            </w:r>
          </w:p>
        </w:tc>
        <w:tc>
          <w:tcPr>
            <w:tcW w:type="dxa" w:w="283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签署前确认</w:t>
            </w:r>
          </w:p>
        </w:tc>
      </w:tr>
      <w:tr>
        <w:trPr>
          <w:cantSplit/>
        </w:trPr>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sz w:val="18"/>
              </w:rPr>
              <w:t>第 1、2 条 保密信息与例外</w:t>
            </w:r>
          </w:p>
        </w:tc>
        <w:tc>
          <w:tcPr>
            <w:tcW w:type="dxa" w:w="4082"/>
            <w:vAlign w:val="center"/>
            <w:tcMar>
              <w:top w:w="60" w:type="dxa"/>
              <w:start w:w="90" w:type="dxa"/>
              <w:bottom w:w="60" w:type="dxa"/>
              <w:end w:w="90" w:type="dxa"/>
            </w:tcMar>
          </w:tcPr>
          <w:p>
            <w:pPr>
              <w:spacing w:after="0" w:line="276" w:lineRule="auto"/>
            </w:pPr>
            <w:r>
              <w:rPr>
                <w:rFonts w:ascii="Times New Roman" w:hAnsi="Times New Roman" w:eastAsia="宋体"/>
                <w:b w:val="0"/>
                <w:sz w:val="18"/>
              </w:rPr>
              <w:t>决定哪些信息受保护、哪些不受保护；范围过宽或过窄都会引发争议</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披露信息已在附件一分类；口头披露有书面确认安排</w:t>
            </w:r>
          </w:p>
        </w:tc>
      </w:tr>
      <w:tr>
        <w:trPr>
          <w:cantSplit/>
        </w:trPr>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sz w:val="18"/>
              </w:rPr>
              <w:t>第 3 条 使用目的</w:t>
            </w:r>
          </w:p>
        </w:tc>
        <w:tc>
          <w:tcPr>
            <w:tcW w:type="dxa" w:w="4082"/>
            <w:vAlign w:val="center"/>
            <w:tcMar>
              <w:top w:w="60" w:type="dxa"/>
              <w:start w:w="90" w:type="dxa"/>
              <w:bottom w:w="60" w:type="dxa"/>
              <w:end w:w="90" w:type="dxa"/>
            </w:tcMar>
          </w:tcPr>
          <w:p>
            <w:pPr>
              <w:spacing w:after="0" w:line="276" w:lineRule="auto"/>
            </w:pPr>
            <w:r>
              <w:rPr>
                <w:rFonts w:ascii="Times New Roman" w:hAnsi="Times New Roman" w:eastAsia="宋体"/>
                <w:b w:val="0"/>
                <w:sz w:val="18"/>
              </w:rPr>
              <w:t>限制信息用途，但不等于竞业限制或排他约定</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目的具体到项目和评估范围；不夹带产品开发、模型训练</w:t>
            </w:r>
          </w:p>
        </w:tc>
      </w:tr>
      <w:tr>
        <w:trPr>
          <w:cantSplit/>
        </w:trPr>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sz w:val="18"/>
              </w:rPr>
              <w:t>第 4 条 接收人员</w:t>
            </w:r>
          </w:p>
        </w:tc>
        <w:tc>
          <w:tcPr>
            <w:tcW w:type="dxa" w:w="4082"/>
            <w:vAlign w:val="center"/>
            <w:tcMar>
              <w:top w:w="60" w:type="dxa"/>
              <w:start w:w="90" w:type="dxa"/>
              <w:bottom w:w="60" w:type="dxa"/>
              <w:end w:w="90" w:type="dxa"/>
            </w:tcMar>
          </w:tcPr>
          <w:p>
            <w:pPr>
              <w:spacing w:after="0" w:line="276" w:lineRule="auto"/>
            </w:pPr>
            <w:r>
              <w:rPr>
                <w:rFonts w:ascii="Times New Roman" w:hAnsi="Times New Roman" w:eastAsia="宋体"/>
                <w:b w:val="0"/>
                <w:sz w:val="18"/>
              </w:rPr>
              <w:t>关联方、顾问和员工的范围影响泄露风险与责任</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附件二列明人员类别、关联方和顾问；访问权限可复核</w:t>
            </w:r>
          </w:p>
        </w:tc>
      </w:tr>
      <w:tr>
        <w:trPr>
          <w:cantSplit/>
        </w:trPr>
        <w:tc>
          <w:tcPr>
            <w:tcW w:type="dxa" w:w="2438"/>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5 条 保密期限</w:t>
            </w:r>
          </w:p>
        </w:tc>
        <w:tc>
          <w:tcPr>
            <w:tcW w:type="dxa" w:w="4082"/>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协议有效期、披露期间和逐次披露起算的保密期是三件事</w:t>
            </w:r>
          </w:p>
        </w:tc>
        <w:tc>
          <w:tcPr>
            <w:tcW w:type="dxa" w:w="283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普通信息年限已填；商业秘密按法定条件，不写“全部永久”</w:t>
            </w:r>
          </w:p>
        </w:tc>
      </w:tr>
      <w:tr>
        <w:trPr>
          <w:cantSplit/>
        </w:trPr>
        <w:tc>
          <w:tcPr>
            <w:tcW w:type="dxa" w:w="2438"/>
            <w:vAlign w:val="center"/>
            <w:tcMar>
              <w:top w:w="60" w:type="dxa"/>
              <w:start w:w="90" w:type="dxa"/>
              <w:bottom w:w="60" w:type="dxa"/>
              <w:end w:w="90" w:type="dxa"/>
            </w:tcMar>
          </w:tcPr>
          <w:p>
            <w:pPr>
              <w:spacing w:after="0" w:line="276" w:lineRule="auto"/>
            </w:pPr>
            <w:r>
              <w:rPr>
                <w:rFonts w:ascii="Times New Roman" w:hAnsi="Times New Roman" w:eastAsia="宋体"/>
                <w:b/>
                <w:sz w:val="18"/>
              </w:rPr>
              <w:t>第 7 条 返还销毁</w:t>
            </w:r>
          </w:p>
        </w:tc>
        <w:tc>
          <w:tcPr>
            <w:tcW w:type="dxa" w:w="4082"/>
            <w:vAlign w:val="center"/>
            <w:tcMar>
              <w:top w:w="60" w:type="dxa"/>
              <w:start w:w="90" w:type="dxa"/>
              <w:bottom w:w="60" w:type="dxa"/>
              <w:end w:w="90" w:type="dxa"/>
            </w:tcMar>
          </w:tcPr>
          <w:p>
            <w:pPr>
              <w:spacing w:after="0" w:line="276" w:lineRule="auto"/>
            </w:pPr>
            <w:r>
              <w:rPr>
                <w:rFonts w:ascii="Times New Roman" w:hAnsi="Times New Roman" w:eastAsia="宋体"/>
                <w:b w:val="0"/>
                <w:sz w:val="18"/>
              </w:rPr>
              <w:t>关系结束后信息如何处置、备份如何处理</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8"/>
              </w:rPr>
              <w:t>已约定返还/销毁期限、留存副本保护和证明</w:t>
            </w:r>
          </w:p>
        </w:tc>
      </w:tr>
      <w:tr>
        <w:trPr>
          <w:cantSplit/>
        </w:trPr>
        <w:tc>
          <w:tcPr>
            <w:tcW w:type="dxa" w:w="2438"/>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8 条 责任限制</w:t>
            </w:r>
          </w:p>
        </w:tc>
        <w:tc>
          <w:tcPr>
            <w:tcW w:type="dxa" w:w="4082"/>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责任上限、例外和法定不得免责事项</w:t>
            </w:r>
          </w:p>
        </w:tc>
        <w:tc>
          <w:tcPr>
            <w:tcW w:type="dxa" w:w="283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上限只覆盖普通信息；故意、重大过失、商业秘密侵权等不适用</w:t>
            </w:r>
          </w:p>
        </w:tc>
      </w:tr>
      <w:tr>
        <w:trPr>
          <w:cantSplit/>
        </w:trPr>
        <w:tc>
          <w:tcPr>
            <w:tcW w:type="dxa" w:w="2438"/>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14 条 争议解决</w:t>
            </w:r>
          </w:p>
        </w:tc>
        <w:tc>
          <w:tcPr>
            <w:tcW w:type="dxa" w:w="4082"/>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管辖地点必须与争议有实际联系，且不得违反专属管辖</w:t>
            </w:r>
          </w:p>
        </w:tc>
        <w:tc>
          <w:tcPr>
            <w:tcW w:type="dxa" w:w="283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已核对法院、实际联系和级别管辖</w:t>
            </w:r>
          </w:p>
        </w:tc>
      </w:tr>
    </w:tbl>
    <w:p>
      <w:pPr>
        <w:spacing w:after="60" w:line="300" w:lineRule="auto"/>
      </w:pPr>
    </w:p>
    <w:p>
      <w:pPr>
        <w:keepNext w:val="0"/>
        <w:spacing w:before="0" w:after="60" w:line="300" w:lineRule="auto"/>
      </w:pPr>
      <w:r>
        <w:rPr>
          <w:rFonts w:ascii="Times New Roman" w:hAnsi="Times New Roman" w:eastAsia="宋体"/>
          <w:b w:val="0"/>
          <w:color w:val="404040"/>
          <w:sz w:val="18"/>
        </w:rPr>
        <w:t>双方确认已阅读并理解上述条款。该确认不替代任何一方的独立法律判断。</w:t>
      </w:r>
    </w:p>
    <w:p>
      <w:pPr>
        <w:spacing w:after="60" w:line="300" w:lineRule="auto"/>
      </w:pPr>
      <w:r>
        <w:br w:type="page"/>
      </w:r>
    </w:p>
    <w:p>
      <w:pPr>
        <w:pStyle w:val="Heading1"/>
      </w:pPr>
      <w:r>
        <w:t>双向保密协议</w:t>
      </w:r>
    </w:p>
    <w:p>
      <w:pPr>
        <w:keepNext w:val="0"/>
        <w:spacing w:before="0" w:after="60" w:line="300" w:lineRule="auto"/>
      </w:pPr>
      <w:r>
        <w:rPr>
          <w:rFonts w:ascii="Times New Roman" w:hAnsi="Times New Roman" w:eastAsia="宋体"/>
          <w:b/>
          <w:sz w:val="21"/>
        </w:rPr>
        <w:t>合同编号：【填写】</w:t>
      </w:r>
    </w:p>
    <w:p>
      <w:pPr>
        <w:keepNext w:val="0"/>
        <w:spacing w:before="0" w:after="60" w:line="300" w:lineRule="auto"/>
      </w:pPr>
      <w:r>
        <w:rPr>
          <w:rFonts w:ascii="Times New Roman" w:hAnsi="Times New Roman" w:eastAsia="宋体"/>
          <w:b w:val="0"/>
          <w:sz w:val="21"/>
        </w:rPr>
        <w:t>甲方：【填写企业全称】</w:t>
      </w:r>
    </w:p>
    <w:p>
      <w:pPr>
        <w:keepNext w:val="0"/>
        <w:spacing w:before="0" w:after="60" w:line="300" w:lineRule="auto"/>
      </w:pPr>
      <w:r>
        <w:rPr>
          <w:rFonts w:ascii="Times New Roman" w:hAnsi="Times New Roman" w:eastAsia="宋体"/>
          <w:b w:val="0"/>
          <w:color w:val="404040"/>
          <w:sz w:val="19"/>
        </w:rPr>
        <w:t>统一社会信用代码：【填写】</w:t>
      </w:r>
    </w:p>
    <w:p>
      <w:pPr>
        <w:keepNext w:val="0"/>
        <w:spacing w:before="0" w:after="60" w:line="300" w:lineRule="auto"/>
      </w:pPr>
      <w:r>
        <w:rPr>
          <w:rFonts w:ascii="Times New Roman" w:hAnsi="Times New Roman" w:eastAsia="宋体"/>
          <w:b w:val="0"/>
          <w:color w:val="404040"/>
          <w:sz w:val="19"/>
        </w:rPr>
        <w:t>住所：【填写】</w:t>
      </w:r>
    </w:p>
    <w:p>
      <w:pPr>
        <w:keepNext w:val="0"/>
        <w:spacing w:before="0" w:after="60" w:line="300" w:lineRule="auto"/>
      </w:pPr>
      <w:r>
        <w:rPr>
          <w:rFonts w:ascii="Times New Roman" w:hAnsi="Times New Roman" w:eastAsia="宋体"/>
          <w:b w:val="0"/>
          <w:sz w:val="21"/>
        </w:rPr>
        <w:t>乙方：【填写企业全称】</w:t>
      </w:r>
    </w:p>
    <w:p>
      <w:pPr>
        <w:keepNext w:val="0"/>
        <w:spacing w:before="0" w:after="60" w:line="300" w:lineRule="auto"/>
      </w:pPr>
      <w:r>
        <w:rPr>
          <w:rFonts w:ascii="Times New Roman" w:hAnsi="Times New Roman" w:eastAsia="宋体"/>
          <w:b w:val="0"/>
          <w:color w:val="404040"/>
          <w:sz w:val="19"/>
        </w:rPr>
        <w:t>统一社会信用代码：【填写】</w:t>
      </w:r>
    </w:p>
    <w:p>
      <w:pPr>
        <w:keepNext w:val="0"/>
        <w:spacing w:before="0" w:after="60" w:line="300" w:lineRule="auto"/>
      </w:pPr>
      <w:r>
        <w:rPr>
          <w:rFonts w:ascii="Times New Roman" w:hAnsi="Times New Roman" w:eastAsia="宋体"/>
          <w:b w:val="0"/>
          <w:color w:val="404040"/>
          <w:sz w:val="19"/>
        </w:rPr>
        <w:t>住所：【填写】</w:t>
      </w:r>
    </w:p>
    <w:p>
      <w:pPr>
        <w:keepNext w:val="0"/>
        <w:spacing w:before="0" w:after="60" w:line="300" w:lineRule="auto"/>
      </w:pPr>
      <w:r>
        <w:rPr>
          <w:rFonts w:ascii="Times New Roman" w:hAnsi="Times New Roman" w:eastAsia="宋体"/>
          <w:b w:val="0"/>
          <w:color w:val="595959"/>
          <w:sz w:val="19"/>
        </w:rPr>
        <w:t>（甲方、乙方单称“一方”，合称“双方”）</w:t>
      </w:r>
    </w:p>
    <w:p>
      <w:pPr>
        <w:keepNext w:val="0"/>
        <w:spacing w:before="120" w:after="60" w:line="300" w:lineRule="auto"/>
      </w:pPr>
      <w:r>
        <w:rPr>
          <w:rFonts w:ascii="Times New Roman" w:hAnsi="Times New Roman" w:eastAsia="宋体"/>
          <w:b/>
          <w:sz w:val="21"/>
        </w:rPr>
        <w:t>鉴于：</w:t>
      </w:r>
    </w:p>
    <w:p>
      <w:pPr>
        <w:pStyle w:val="ListNumber"/>
        <w:spacing w:after="40" w:line="312" w:lineRule="auto"/>
      </w:pPr>
      <w:r>
        <w:rPr>
          <w:rFonts w:ascii="Times New Roman" w:hAnsi="Times New Roman" w:eastAsia="宋体"/>
          <w:sz w:val="21"/>
        </w:rPr>
        <w:t>双方拟就【填写具体评估目的，例如：评估双方在企业流程数字化项目上的合作可行性】进行合作评估；</w:t>
      </w:r>
    </w:p>
    <w:p>
      <w:pPr>
        <w:pStyle w:val="ListNumber"/>
        <w:spacing w:after="40" w:line="312" w:lineRule="auto"/>
      </w:pPr>
      <w:r>
        <w:rPr>
          <w:rFonts w:ascii="Times New Roman" w:hAnsi="Times New Roman" w:eastAsia="宋体"/>
          <w:sz w:val="21"/>
        </w:rPr>
        <w:t>为评估之目的，双方可能相互披露非公开的技术、商务、财务或其他信息；</w:t>
      </w:r>
    </w:p>
    <w:p>
      <w:pPr>
        <w:pStyle w:val="ListNumber"/>
        <w:spacing w:after="40" w:line="312" w:lineRule="auto"/>
      </w:pPr>
      <w:r>
        <w:rPr>
          <w:rFonts w:ascii="Times New Roman" w:hAnsi="Times New Roman" w:eastAsia="宋体"/>
          <w:sz w:val="21"/>
        </w:rPr>
        <w:t>双方希望明确保密信息的范围、使用限制、保密期限、返还销毁和违约责任，以保护各自合法权益。</w:t>
      </w:r>
    </w:p>
    <w:p>
      <w:pPr>
        <w:keepNext w:val="0"/>
        <w:spacing w:before="80" w:after="60" w:line="300" w:lineRule="auto"/>
      </w:pPr>
      <w:r>
        <w:rPr>
          <w:rFonts w:ascii="Times New Roman" w:hAnsi="Times New Roman" w:eastAsia="宋体"/>
          <w:b w:val="0"/>
          <w:sz w:val="21"/>
        </w:rPr>
        <w:t>因此，双方经平等协商，达成如下协议：</w:t>
      </w:r>
    </w:p>
    <w:p>
      <w:pPr>
        <w:pStyle w:val="Heading2"/>
      </w:pPr>
      <w:r>
        <w:t>第一条  定义与保密信息范围</w:t>
      </w:r>
    </w:p>
    <w:p>
      <w:pPr>
        <w:keepNext w:val="0"/>
        <w:spacing w:before="0" w:after="60" w:line="300" w:lineRule="auto"/>
      </w:pPr>
      <w:r>
        <w:rPr>
          <w:rFonts w:ascii="Times New Roman" w:hAnsi="Times New Roman" w:eastAsia="宋体"/>
          <w:b w:val="0"/>
          <w:sz w:val="21"/>
        </w:rPr>
        <w:t>1.1 本协议所称“保密信息”，是指一方（“披露方”）因本协议所述目的，以书面、口头、电子数据、图像、样品或其他有形或无形方式向另一方（“接收方”）披露的下列信息：技术方案、产品路线、源代码及设计文档、发明与研发计划、报价与成本、客户与供应商信息、商业计划、财务数据、合同条款及谈判内容，以及披露时标明“保密”或“Confidential”的其他信息。</w:t>
      </w:r>
    </w:p>
    <w:p>
      <w:pPr>
        <w:keepNext w:val="0"/>
        <w:spacing w:before="0" w:after="60" w:line="300" w:lineRule="auto"/>
      </w:pPr>
      <w:r>
        <w:rPr>
          <w:rFonts w:ascii="Times New Roman" w:hAnsi="Times New Roman" w:eastAsia="宋体"/>
          <w:b w:val="0"/>
          <w:sz w:val="21"/>
        </w:rPr>
        <w:t>1.2 以口头、视觉展示或其他非书面方式披露的保密信息，披露方应在披露后十（10）个工作日内以书面方式确认其范围和保密性质；披露方未按期确认的，接收方仅对依披露场景、信息性质和行业惯例应合理理解为保密的部分承担保密义务。</w:t>
      </w:r>
    </w:p>
    <w:p>
      <w:pPr>
        <w:keepNext w:val="0"/>
        <w:spacing w:before="0" w:after="60" w:line="300" w:lineRule="auto"/>
      </w:pPr>
      <w:r>
        <w:rPr>
          <w:rFonts w:ascii="Times New Roman" w:hAnsi="Times New Roman" w:eastAsia="宋体"/>
          <w:b w:val="0"/>
          <w:sz w:val="21"/>
        </w:rPr>
        <w:t>1.3 本协议所称“商业秘密”，是指符合适用法律规定的商业秘密构成要件，且披露方已采取相应保密措施的技术信息、经营信息等商业信息。普通保密信息与商业秘密适用不同的保密期限和责任安排，不因使用“保密信息”这一统称而混同。</w:t>
      </w:r>
    </w:p>
    <w:p>
      <w:pPr>
        <w:keepNext w:val="0"/>
        <w:spacing w:before="0" w:after="60" w:line="300" w:lineRule="auto"/>
      </w:pPr>
      <w:r>
        <w:rPr>
          <w:rFonts w:ascii="Times New Roman" w:hAnsi="Times New Roman" w:eastAsia="宋体"/>
          <w:b w:val="0"/>
          <w:sz w:val="21"/>
        </w:rPr>
        <w:t>1.4 本协议所称“关联方”，是指直接或间接控制一方、被一方控制，或与一方受同一主体控制的实体；“控制”是指直接或间接持有百分之五十以上有表决权的股权，或通过协议、章程等方式实际支配经营管理。关联方参与评估的，应列入附件二。</w:t>
      </w:r>
    </w:p>
    <w:p>
      <w:pPr>
        <w:keepNext w:val="0"/>
        <w:spacing w:before="0" w:after="60" w:line="300" w:lineRule="auto"/>
      </w:pPr>
      <w:r>
        <w:rPr>
          <w:rFonts w:ascii="Times New Roman" w:hAnsi="Times New Roman" w:eastAsia="宋体"/>
          <w:b w:val="0"/>
          <w:sz w:val="21"/>
        </w:rPr>
        <w:t>1.5 本协议所称“接收人员”，是指第 4.1 条所列因评估目的确有必要知悉保密信息的人员。接收方的董事、监事、高级管理人员在履行职务范围内知悉的，视为接收人员，但仍受本条约束。</w:t>
      </w:r>
    </w:p>
    <w:p>
      <w:pPr>
        <w:keepNext w:val="0"/>
        <w:spacing w:before="0" w:after="60" w:line="300" w:lineRule="auto"/>
      </w:pPr>
      <w:r>
        <w:rPr>
          <w:rFonts w:ascii="Times New Roman" w:hAnsi="Times New Roman" w:eastAsia="宋体"/>
          <w:b w:val="0"/>
          <w:sz w:val="21"/>
        </w:rPr>
        <w:t>1.6 接收方对保密信息的保密义务，不因信息未标注“保密”而当然免除；但接收方仅在其实际知悉或应当知悉该信息为保密信息时承担义务。披露方不得以“所有信息均为保密信息”替代具体识别。</w:t>
      </w:r>
    </w:p>
    <w:p>
      <w:pPr>
        <w:pStyle w:val="Heading2"/>
      </w:pPr>
      <w:r>
        <w:t>第二条  保密例外</w:t>
      </w:r>
    </w:p>
    <w:p>
      <w:pPr>
        <w:keepNext w:val="0"/>
        <w:spacing w:before="0" w:after="60" w:line="300" w:lineRule="auto"/>
      </w:pPr>
      <w:r>
        <w:rPr>
          <w:rFonts w:ascii="Times New Roman" w:hAnsi="Times New Roman" w:eastAsia="宋体"/>
          <w:b w:val="0"/>
          <w:sz w:val="21"/>
        </w:rPr>
        <w:t>2.1 保密信息不包括下列信息：（a）在披露时已经进入公共领域，或因非接收方违约而进入公共领域的信息；（b）接收方在披露前已合法知悉且无保密义务的信息；（c）接收方从有权披露的第三方合法取得且无保密义务的信息；（d）接收方未使用保密信息而独立开发的信息；（e）披露方书面同意公开的信息。</w:t>
      </w:r>
    </w:p>
    <w:p>
      <w:pPr>
        <w:keepNext w:val="0"/>
        <w:spacing w:before="0" w:after="60" w:line="300" w:lineRule="auto"/>
      </w:pPr>
      <w:r>
        <w:rPr>
          <w:rFonts w:ascii="Times New Roman" w:hAnsi="Times New Roman" w:eastAsia="宋体"/>
          <w:b w:val="0"/>
          <w:sz w:val="21"/>
        </w:rPr>
        <w:t>2.2 接收方主张某项信息属于上述例外的，应提供相应记录或其他合理证据；仅凭接收方单方陈述不足以证明例外成立。接收方应尽可能在披露时或知悉争议时提出例外主张，并说明信息来源、时间和范围。</w:t>
      </w:r>
    </w:p>
    <w:p>
      <w:pPr>
        <w:keepNext w:val="0"/>
        <w:spacing w:before="0" w:after="60" w:line="300" w:lineRule="auto"/>
      </w:pPr>
      <w:r>
        <w:rPr>
          <w:rFonts w:ascii="Times New Roman" w:hAnsi="Times New Roman" w:eastAsia="宋体"/>
          <w:b w:val="0"/>
          <w:sz w:val="21"/>
        </w:rPr>
        <w:t>2.3 保密信息的部分内容属于例外，不影响其余部分继续受本协议保护。接收方不得将例外作为整体拒绝履行保密义务的理由。</w:t>
      </w:r>
    </w:p>
    <w:p>
      <w:pPr>
        <w:keepNext w:val="0"/>
        <w:spacing w:before="0" w:after="60" w:line="300" w:lineRule="auto"/>
      </w:pPr>
      <w:r>
        <w:rPr>
          <w:rFonts w:ascii="Times New Roman" w:hAnsi="Times New Roman" w:eastAsia="宋体"/>
          <w:b w:val="0"/>
          <w:sz w:val="21"/>
        </w:rPr>
        <w:t>2.4 接收方对信息的合法来源、独立开发过程或第三方授权负有保留基本记录的义务；披露方不得要求接收方证明其从未接触任何未披露信息。</w:t>
      </w:r>
    </w:p>
    <w:p>
      <w:pPr>
        <w:pStyle w:val="Heading2"/>
      </w:pPr>
      <w:r>
        <w:t>第三条  使用目的与限制</w:t>
      </w:r>
    </w:p>
    <w:p>
      <w:pPr>
        <w:keepNext w:val="0"/>
        <w:spacing w:before="0" w:after="60" w:line="300" w:lineRule="auto"/>
      </w:pPr>
      <w:r>
        <w:rPr>
          <w:rFonts w:ascii="Times New Roman" w:hAnsi="Times New Roman" w:eastAsia="宋体"/>
          <w:b w:val="0"/>
          <w:sz w:val="21"/>
        </w:rPr>
        <w:t>3.1 接收方仅可为【填写具体评估目的】之目的使用保密信息，不得为任何其他目的使用，不得用于开发、改进或推广与披露方竞争的产品或服务。</w:t>
      </w:r>
    </w:p>
    <w:p>
      <w:pPr>
        <w:keepNext w:val="0"/>
        <w:spacing w:before="0" w:after="60" w:line="300" w:lineRule="auto"/>
      </w:pPr>
      <w:r>
        <w:rPr>
          <w:rFonts w:ascii="Times New Roman" w:hAnsi="Times New Roman" w:eastAsia="宋体"/>
          <w:b w:val="0"/>
          <w:sz w:val="21"/>
        </w:rPr>
        <w:t>3.2 接收方不得复制保密信息，但为评估目的确有必要且复制份数合理的除外；每份复制件均应标注与原文件相同的保密标识，并纳入附件一的披露记录。</w:t>
      </w:r>
    </w:p>
    <w:p>
      <w:pPr>
        <w:keepNext w:val="0"/>
        <w:spacing w:before="0" w:after="60" w:line="300" w:lineRule="auto"/>
      </w:pPr>
      <w:r>
        <w:rPr>
          <w:rFonts w:ascii="Times New Roman" w:hAnsi="Times New Roman" w:eastAsia="宋体"/>
          <w:b w:val="0"/>
          <w:sz w:val="21"/>
        </w:rPr>
        <w:t>3.3 接收方不得对披露方提供的软件、样品或设备进行反向工程、反编译或拆解，但适用法律明确允许且不可通过合同排除的除外。</w:t>
      </w:r>
    </w:p>
    <w:p>
      <w:pPr>
        <w:keepNext w:val="0"/>
        <w:spacing w:before="0" w:after="60" w:line="300" w:lineRule="auto"/>
      </w:pPr>
      <w:r>
        <w:rPr>
          <w:rFonts w:ascii="Times New Roman" w:hAnsi="Times New Roman" w:eastAsia="宋体"/>
          <w:b w:val="0"/>
          <w:sz w:val="21"/>
        </w:rPr>
        <w:t>3.4 除本协议明确约定外，本协议不授予接收方任何知识产权许可、所有权或其他权利；披露不构成披露方必须与接收方交易的承诺。</w:t>
      </w:r>
    </w:p>
    <w:p>
      <w:pPr>
        <w:keepNext w:val="0"/>
        <w:spacing w:before="0" w:after="60" w:line="300" w:lineRule="auto"/>
      </w:pPr>
      <w:r>
        <w:rPr>
          <w:rFonts w:ascii="Times New Roman" w:hAnsi="Times New Roman" w:eastAsia="宋体"/>
          <w:b w:val="0"/>
          <w:sz w:val="21"/>
        </w:rPr>
        <w:t>3.5 本条限制的是保密信息的使用目的，不构成竞业限制、排他交易、不招揽或不竞争义务。双方如需要上述安排，应另行签署书面协议，并完成相应专项审查。</w:t>
      </w:r>
    </w:p>
    <w:p>
      <w:pPr>
        <w:pStyle w:val="Heading2"/>
      </w:pPr>
      <w:r>
        <w:t>第四条  接收人员与必要知悉</w:t>
      </w:r>
    </w:p>
    <w:p>
      <w:pPr>
        <w:keepNext w:val="0"/>
        <w:spacing w:before="0" w:after="60" w:line="300" w:lineRule="auto"/>
      </w:pPr>
      <w:r>
        <w:rPr>
          <w:rFonts w:ascii="Times New Roman" w:hAnsi="Times New Roman" w:eastAsia="宋体"/>
          <w:b w:val="0"/>
          <w:sz w:val="21"/>
        </w:rPr>
        <w:t>4.1 接收方仅可向因评估目的而确有必要知悉保密信息的下列人员披露：（a）接收方及其关联方的员工；（b）接收方聘请的律师、会计师、顾问；（c）经披露方事先书面同意的其他人员。上述人员在本协议中统称“接收人员”。关联方和顾问的具体范围见附件二。</w:t>
      </w:r>
    </w:p>
    <w:p>
      <w:pPr>
        <w:keepNext w:val="0"/>
        <w:spacing w:before="0" w:after="60" w:line="300" w:lineRule="auto"/>
      </w:pPr>
      <w:r>
        <w:rPr>
          <w:rFonts w:ascii="Times New Roman" w:hAnsi="Times New Roman" w:eastAsia="宋体"/>
          <w:b w:val="0"/>
          <w:sz w:val="21"/>
        </w:rPr>
        <w:t>4.2 接收方应在披露前或披露时向接收人员说明保密义务，并确保其受到不低于本协议保护水平的书面保密义务约束；接收方对接收人员违反本协议的行为承担责任。</w:t>
      </w:r>
    </w:p>
    <w:p>
      <w:pPr>
        <w:keepNext w:val="0"/>
        <w:spacing w:before="0" w:after="60" w:line="300" w:lineRule="auto"/>
      </w:pPr>
      <w:r>
        <w:rPr>
          <w:rFonts w:ascii="Times New Roman" w:hAnsi="Times New Roman" w:eastAsia="宋体"/>
          <w:b w:val="0"/>
          <w:sz w:val="21"/>
        </w:rPr>
        <w:t>4.3 接收方应保存接收人员名单和访问记录，并在披露方合理要求时提供；披露方可对访问权限提出合理限制。访问权限应与附件一的披露清单和附件二的人员范围对应，不得仅以“员工”或“关联方”概括。</w:t>
      </w:r>
    </w:p>
    <w:p>
      <w:pPr>
        <w:keepNext w:val="0"/>
        <w:spacing w:before="0" w:after="60" w:line="300" w:lineRule="auto"/>
      </w:pPr>
      <w:r>
        <w:rPr>
          <w:rFonts w:ascii="Times New Roman" w:hAnsi="Times New Roman" w:eastAsia="宋体"/>
          <w:b w:val="0"/>
          <w:sz w:val="21"/>
        </w:rPr>
        <w:t>4.4 接收方不得将保密信息提供给与披露方存在竞争关系的关联方或第三方，除非取得披露方事先书面同意。</w:t>
      </w:r>
    </w:p>
    <w:p>
      <w:pPr>
        <w:keepNext w:val="0"/>
        <w:spacing w:before="0" w:after="60" w:line="300" w:lineRule="auto"/>
      </w:pPr>
      <w:r>
        <w:rPr>
          <w:rFonts w:ascii="Times New Roman" w:hAnsi="Times New Roman" w:eastAsia="宋体"/>
          <w:b w:val="0"/>
          <w:sz w:val="21"/>
        </w:rPr>
        <w:t>4.5 接收方应至少每年复核一次接收人员名单和访问权限；项目结束、人员离职、职责变化或合作关系终止时，应及时调整权限并留存记录。</w:t>
      </w:r>
    </w:p>
    <w:p>
      <w:pPr>
        <w:keepNext w:val="0"/>
        <w:spacing w:before="0" w:after="60" w:line="300" w:lineRule="auto"/>
      </w:pPr>
      <w:r>
        <w:rPr>
          <w:rFonts w:ascii="Times New Roman" w:hAnsi="Times New Roman" w:eastAsia="宋体"/>
          <w:b w:val="0"/>
          <w:sz w:val="21"/>
        </w:rPr>
        <w:t>4.6 接收方委托专业顾问的，应确认顾问仅为其评估目的服务，并不得将保密信息用于顾问的其他客户或项目。</w:t>
      </w:r>
    </w:p>
    <w:p>
      <w:pPr>
        <w:pStyle w:val="Heading2"/>
      </w:pPr>
      <w:r>
        <w:t>第五条  保密期限</w:t>
      </w:r>
    </w:p>
    <w:p>
      <w:pPr>
        <w:keepNext w:val="0"/>
        <w:spacing w:before="0" w:after="60" w:line="300" w:lineRule="auto"/>
      </w:pPr>
      <w:r>
        <w:rPr>
          <w:rFonts w:ascii="Times New Roman" w:hAnsi="Times New Roman" w:eastAsia="宋体"/>
          <w:b w:val="0"/>
          <w:sz w:val="21"/>
        </w:rPr>
        <w:t>5.1 本协议自双方签署之日起生效，有效期至【填写日期】。披露期间为【填写起始日期】至【填写结束日期】。协议有效期届满不影响在届满前已经产生的保密义务。</w:t>
      </w:r>
    </w:p>
    <w:p>
      <w:pPr>
        <w:keepNext w:val="0"/>
        <w:spacing w:before="0" w:after="60" w:line="300" w:lineRule="auto"/>
      </w:pPr>
      <w:r>
        <w:rPr>
          <w:rFonts w:ascii="Times New Roman" w:hAnsi="Times New Roman" w:eastAsia="宋体"/>
          <w:b w:val="0"/>
          <w:sz w:val="21"/>
        </w:rPr>
        <w:t>5.2 对于普通保密信息，接收方的保密义务自该信息每一次披露之日起持续三（3）年。双方采用可让步版约定二（2）年的，应在本条明确写明，并登记偏离。</w:t>
      </w:r>
    </w:p>
    <w:p>
      <w:pPr>
        <w:keepNext w:val="0"/>
        <w:spacing w:before="0" w:after="60" w:line="300" w:lineRule="auto"/>
      </w:pPr>
      <w:r>
        <w:rPr>
          <w:rFonts w:ascii="Times New Roman" w:hAnsi="Times New Roman" w:eastAsia="宋体"/>
          <w:b w:val="0"/>
          <w:sz w:val="21"/>
        </w:rPr>
        <w:t>5.3 对于构成商业秘密的信息，只要该信息仍满足不为公众所知悉、具有商业价值并经披露方采取相应保密措施的条件，接收方的保密义务持续至该条件不再满足之日；双方不得将全部保密信息概括约定为永久商业秘密。</w:t>
      </w:r>
    </w:p>
    <w:p>
      <w:pPr>
        <w:keepNext w:val="0"/>
        <w:spacing w:before="0" w:after="60" w:line="300" w:lineRule="auto"/>
      </w:pPr>
      <w:r>
        <w:rPr>
          <w:rFonts w:ascii="Times New Roman" w:hAnsi="Times New Roman" w:eastAsia="宋体"/>
          <w:b w:val="0"/>
          <w:sz w:val="21"/>
        </w:rPr>
        <w:t>5.4 披露方应在其商业秘密信息上作出合理标识，并在接收方合理要求时说明已采取的保密措施。接收方不得仅以披露方未逐份标注为由拒绝履行商业秘密保密义务。</w:t>
      </w:r>
    </w:p>
    <w:p>
      <w:pPr>
        <w:keepNext w:val="0"/>
        <w:spacing w:before="0" w:after="60" w:line="300" w:lineRule="auto"/>
      </w:pPr>
      <w:r>
        <w:rPr>
          <w:rFonts w:ascii="Times New Roman" w:hAnsi="Times New Roman" w:eastAsia="宋体"/>
          <w:b w:val="0"/>
          <w:sz w:val="21"/>
        </w:rPr>
        <w:t>5.5 本协议终止或届满不影响终止或届满前已经产生的保密义务；第六条、第七条、第八条、第十一条、第十四条及争议解决条款继续有效。</w:t>
      </w:r>
    </w:p>
    <w:p>
      <w:pPr>
        <w:keepNext w:val="0"/>
        <w:spacing w:before="0" w:after="60" w:line="300" w:lineRule="auto"/>
      </w:pPr>
      <w:r>
        <w:rPr>
          <w:rFonts w:ascii="Times New Roman" w:hAnsi="Times New Roman" w:eastAsia="宋体"/>
          <w:b w:val="0"/>
          <w:sz w:val="21"/>
        </w:rPr>
        <w:t>5.6 普通保密信息保密期届满后，接收方可以停止保密措施，但仍不得以违反法律或侵犯他人权利的方式使用该信息；商业秘密的保护按第 5.3 条继续。</w:t>
      </w:r>
    </w:p>
    <w:p>
      <w:pPr>
        <w:pStyle w:val="Heading2"/>
      </w:pPr>
      <w:r>
        <w:t>第六条  依法披露与泄露处置</w:t>
      </w:r>
    </w:p>
    <w:p>
      <w:pPr>
        <w:keepNext w:val="0"/>
        <w:spacing w:before="0" w:after="60" w:line="300" w:lineRule="auto"/>
      </w:pPr>
      <w:r>
        <w:rPr>
          <w:rFonts w:ascii="Times New Roman" w:hAnsi="Times New Roman" w:eastAsia="宋体"/>
          <w:b w:val="0"/>
          <w:sz w:val="21"/>
        </w:rPr>
        <w:t>6.1 接收方因法律、法规、证券交易所规则、法院、仲裁机构或有权政府机关的要求必须披露保密信息的，可在强制要求范围内披露，但应：（a）在法律允许的范围内，事先书面通知披露方；（b）仅披露被要求披露的最小范围；（c）配合披露方采取保密审查、保护令或其他合理措施；（d）要求接收披露的机关对信息保密。</w:t>
      </w:r>
    </w:p>
    <w:p>
      <w:pPr>
        <w:keepNext w:val="0"/>
        <w:spacing w:before="0" w:after="60" w:line="300" w:lineRule="auto"/>
      </w:pPr>
      <w:r>
        <w:rPr>
          <w:rFonts w:ascii="Times New Roman" w:hAnsi="Times New Roman" w:eastAsia="宋体"/>
          <w:b w:val="0"/>
          <w:sz w:val="21"/>
        </w:rPr>
        <w:t>6.2 法律禁止事先通知的，接收方应在披露后合理时间内通知披露方，并说明披露的依据、接收机关和范围。</w:t>
      </w:r>
    </w:p>
    <w:p>
      <w:pPr>
        <w:keepNext w:val="0"/>
        <w:spacing w:before="0" w:after="60" w:line="300" w:lineRule="auto"/>
      </w:pPr>
      <w:r>
        <w:rPr>
          <w:rFonts w:ascii="Times New Roman" w:hAnsi="Times New Roman" w:eastAsia="宋体"/>
          <w:b w:val="0"/>
          <w:sz w:val="21"/>
        </w:rPr>
        <w:t>6.3 接收方依本条披露的，不构成违反本协议，但接收方未遵守本条限制，或超出强制要求范围披露的除外。</w:t>
      </w:r>
    </w:p>
    <w:p>
      <w:pPr>
        <w:keepNext w:val="0"/>
        <w:spacing w:before="0" w:after="60" w:line="300" w:lineRule="auto"/>
      </w:pPr>
      <w:r>
        <w:rPr>
          <w:rFonts w:ascii="Times New Roman" w:hAnsi="Times New Roman" w:eastAsia="宋体"/>
          <w:b w:val="0"/>
          <w:sz w:val="21"/>
        </w:rPr>
        <w:t>6.4 接收方发现保密信息被未经授权访问、披露或丢失的，应立即采取补救措施，并在二十四（24）小时内书面通知披露方，说明泄露范围、原因、已采取的措施和后续计划；双方应相互配合控制损害，不得隐瞒或延迟报告。</w:t>
      </w:r>
    </w:p>
    <w:p>
      <w:pPr>
        <w:keepNext w:val="0"/>
        <w:spacing w:before="0" w:after="60" w:line="300" w:lineRule="auto"/>
      </w:pPr>
      <w:r>
        <w:rPr>
          <w:rFonts w:ascii="Times New Roman" w:hAnsi="Times New Roman" w:eastAsia="宋体"/>
          <w:b w:val="0"/>
          <w:sz w:val="21"/>
        </w:rPr>
        <w:t>6.5 发生泄露时，接收方应保存访问日志、系统记录、处置记录和对外沟通记录；披露方有权要求接收方在合理范围内说明补救进展。双方不得销毁与泄露有关的证据。</w:t>
      </w:r>
    </w:p>
    <w:p>
      <w:pPr>
        <w:pStyle w:val="Heading2"/>
      </w:pPr>
      <w:r>
        <w:t>第七条  返还、销毁与留存</w:t>
      </w:r>
    </w:p>
    <w:p>
      <w:pPr>
        <w:keepNext w:val="0"/>
        <w:spacing w:before="0" w:after="60" w:line="300" w:lineRule="auto"/>
      </w:pPr>
      <w:r>
        <w:rPr>
          <w:rFonts w:ascii="Times New Roman" w:hAnsi="Times New Roman" w:eastAsia="宋体"/>
          <w:b w:val="0"/>
          <w:sz w:val="21"/>
        </w:rPr>
        <w:t>7.1 本协议终止、披露目的完成或披露方书面要求时，接收方应在三十（30）日内：（a）返还披露方提供的全部保密信息及其复制件；或（b）按披露方要求销毁，并删除其控制的系统、设备和备份中的保密信息。</w:t>
      </w:r>
    </w:p>
    <w:p>
      <w:pPr>
        <w:keepNext w:val="0"/>
        <w:spacing w:before="0" w:after="60" w:line="300" w:lineRule="auto"/>
      </w:pPr>
      <w:r>
        <w:rPr>
          <w:rFonts w:ascii="Times New Roman" w:hAnsi="Times New Roman" w:eastAsia="宋体"/>
          <w:b w:val="0"/>
          <w:sz w:val="21"/>
        </w:rPr>
        <w:t>7.2 接收方应在完成后十（10）个工作日内向披露方提交书面销毁或返还证明，说明处理范围、方式、日期、执行人和无法立即删除的备份情况。证明格式见附件三。</w:t>
      </w:r>
    </w:p>
    <w:p>
      <w:pPr>
        <w:keepNext w:val="0"/>
        <w:spacing w:before="0" w:after="60" w:line="300" w:lineRule="auto"/>
      </w:pPr>
      <w:r>
        <w:rPr>
          <w:rFonts w:ascii="Times New Roman" w:hAnsi="Times New Roman" w:eastAsia="宋体"/>
          <w:b w:val="0"/>
          <w:sz w:val="21"/>
        </w:rPr>
        <w:t>7.3 接收方因法律、监管或内部合规要求必须留存保密信息的，可保留一份存档副本，但应：（a）继续承担保密义务；（b）限制访问并记录访问人员；（c）不得用于其他目的；（d）在法律要求或争议结束后按披露方要求销毁。</w:t>
      </w:r>
    </w:p>
    <w:p>
      <w:pPr>
        <w:keepNext w:val="0"/>
        <w:spacing w:before="0" w:after="60" w:line="300" w:lineRule="auto"/>
      </w:pPr>
      <w:r>
        <w:rPr>
          <w:rFonts w:ascii="Times New Roman" w:hAnsi="Times New Roman" w:eastAsia="宋体"/>
          <w:b w:val="0"/>
          <w:sz w:val="21"/>
        </w:rPr>
        <w:t>7.4 接收方的自动备份系统难以及时删除的，应在备份轮转后按本条处理，并在书面证明中说明备份介质、备份范围、轮转周期和预计清除日期；备份恢复后如涉及保密信息，应重新执行删除。</w:t>
      </w:r>
    </w:p>
    <w:p>
      <w:pPr>
        <w:keepNext w:val="0"/>
        <w:spacing w:before="0" w:after="60" w:line="300" w:lineRule="auto"/>
      </w:pPr>
      <w:r>
        <w:rPr>
          <w:rFonts w:ascii="Times New Roman" w:hAnsi="Times New Roman" w:eastAsia="宋体"/>
          <w:b w:val="0"/>
          <w:sz w:val="21"/>
        </w:rPr>
        <w:t>7.5 接收方应销毁不再需要的复制件、工作底稿、摘录和由保密信息衍生的分析材料，但为证明合规留存的一份存档副本除外。</w:t>
      </w:r>
    </w:p>
    <w:p>
      <w:pPr>
        <w:keepNext w:val="0"/>
        <w:spacing w:before="0" w:after="60" w:line="300" w:lineRule="auto"/>
      </w:pPr>
      <w:r>
        <w:rPr>
          <w:rFonts w:ascii="Times New Roman" w:hAnsi="Times New Roman" w:eastAsia="宋体"/>
          <w:b w:val="0"/>
          <w:sz w:val="21"/>
        </w:rPr>
        <w:t>7.6 本条不要求接收方销毁依法必须保存的诉讼、监管或审计证据；该等资料应隔离保存并继续保密，待保存义务结束后按第 7.3 条处理。</w:t>
      </w:r>
    </w:p>
    <w:p>
      <w:pPr>
        <w:pStyle w:val="Heading2"/>
      </w:pPr>
      <w:r>
        <w:t>第八条  违约责任与责任限制</w:t>
      </w:r>
    </w:p>
    <w:p>
      <w:pPr>
        <w:keepNext w:val="0"/>
        <w:spacing w:before="0" w:after="60" w:line="300" w:lineRule="auto"/>
      </w:pPr>
      <w:r>
        <w:rPr>
          <w:rFonts w:ascii="Times New Roman" w:hAnsi="Times New Roman" w:eastAsia="宋体"/>
          <w:b w:val="0"/>
          <w:sz w:val="21"/>
        </w:rPr>
        <w:t>8.1 一方违反本协议，应赔偿守约方因此遭受的直接损失，包括为制止违约、保护保密信息而支出的合理律师费、诉讼费、保全费和专家费用。</w:t>
      </w:r>
    </w:p>
    <w:p>
      <w:pPr>
        <w:keepNext w:val="0"/>
        <w:spacing w:before="0" w:after="60" w:line="300" w:lineRule="auto"/>
      </w:pPr>
      <w:r>
        <w:rPr>
          <w:rFonts w:ascii="Times New Roman" w:hAnsi="Times New Roman" w:eastAsia="宋体"/>
          <w:b w:val="0"/>
          <w:sz w:val="21"/>
        </w:rPr>
        <w:t>8.2 除故意或重大过失、侵犯商业秘密、违反法律强制性规定、造成人身损害外，违约方不承担间接损失、附带损失、惩罚性赔偿或可得利益损失。</w:t>
      </w:r>
    </w:p>
    <w:p>
      <w:pPr>
        <w:keepNext w:val="0"/>
        <w:spacing w:before="0" w:after="60" w:line="300" w:lineRule="auto"/>
      </w:pPr>
      <w:r>
        <w:rPr>
          <w:rFonts w:ascii="Times New Roman" w:hAnsi="Times New Roman" w:eastAsia="宋体"/>
          <w:b w:val="0"/>
          <w:sz w:val="21"/>
        </w:rPr>
        <w:t>8.3 本协议不限制守约方依法申请行为保全、禁令或其他临时措施的权利，也不限制法律强制规定的责任。</w:t>
      </w:r>
    </w:p>
    <w:p>
      <w:pPr>
        <w:keepNext w:val="0"/>
        <w:spacing w:before="0" w:after="60" w:line="300" w:lineRule="auto"/>
      </w:pPr>
      <w:r>
        <w:rPr>
          <w:rFonts w:ascii="Times New Roman" w:hAnsi="Times New Roman" w:eastAsia="宋体"/>
          <w:b w:val="0"/>
          <w:sz w:val="21"/>
        </w:rPr>
        <w:t>8.4 对于普通保密义务的违约，违约方的累计赔偿责任以人民币【填写金额】元为限；但故意或重大过失、侵犯商业秘密、违反法律强制性规定、侵犯他方知识产权或造成人身损害的责任不适用该上限。未填写金额的，视为不约定上限，但本条其他限制仍适用。</w:t>
      </w:r>
    </w:p>
    <w:p>
      <w:pPr>
        <w:keepNext w:val="0"/>
        <w:spacing w:before="0" w:after="60" w:line="300" w:lineRule="auto"/>
      </w:pPr>
      <w:r>
        <w:rPr>
          <w:rFonts w:ascii="Times New Roman" w:hAnsi="Times New Roman" w:eastAsia="宋体"/>
          <w:b w:val="0"/>
          <w:sz w:val="21"/>
        </w:rPr>
        <w:t>8.5 违约方承担的责任以守约方能够证明的实际损失为基础；双方不得约定明显不合理的惩罚性违约金，也不得约定由一方单方认定损失金额。</w:t>
      </w:r>
    </w:p>
    <w:p>
      <w:pPr>
        <w:keepNext w:val="0"/>
        <w:spacing w:before="0" w:after="60" w:line="300" w:lineRule="auto"/>
      </w:pPr>
      <w:r>
        <w:rPr>
          <w:rFonts w:ascii="Times New Roman" w:hAnsi="Times New Roman" w:eastAsia="宋体"/>
          <w:b w:val="0"/>
          <w:sz w:val="21"/>
        </w:rPr>
        <w:t>8.6 任何免责或责任限制条款均不排除《民法典》第 506 条规定的无效情形，即造成对方人身损害，以及因故意或者重大过失造成对方财产损失的免责条款无效。</w:t>
      </w:r>
    </w:p>
    <w:p>
      <w:pPr>
        <w:keepNext w:val="0"/>
        <w:spacing w:before="0" w:after="60" w:line="300" w:lineRule="auto"/>
      </w:pPr>
      <w:r>
        <w:rPr>
          <w:rFonts w:ascii="Times New Roman" w:hAnsi="Times New Roman" w:eastAsia="宋体"/>
          <w:b w:val="0"/>
          <w:sz w:val="21"/>
        </w:rPr>
        <w:t>8.7 双方在本协议项下的保密义务和责任是对等的；一方违约不影响另一方继续履行本协议。</w:t>
      </w:r>
    </w:p>
    <w:p>
      <w:pPr>
        <w:pStyle w:val="Heading2"/>
      </w:pPr>
      <w:r>
        <w:t>第九条  不夹带其他安排</w:t>
      </w:r>
    </w:p>
    <w:p>
      <w:pPr>
        <w:keepNext w:val="0"/>
        <w:spacing w:before="0" w:after="60" w:line="300" w:lineRule="auto"/>
      </w:pPr>
      <w:r>
        <w:rPr>
          <w:rFonts w:ascii="Times New Roman" w:hAnsi="Times New Roman" w:eastAsia="宋体"/>
          <w:b w:val="0"/>
          <w:sz w:val="21"/>
        </w:rPr>
        <w:t>9.1 本协议仅约定保密事项，不包含竞业限制、排他交易、最低采购、独家合作、知识产权转让或许可、个人信息处理授权、模型训练授权或任何必须达成交易的承诺。</w:t>
      </w:r>
    </w:p>
    <w:p>
      <w:pPr>
        <w:keepNext w:val="0"/>
        <w:spacing w:before="0" w:after="60" w:line="300" w:lineRule="auto"/>
      </w:pPr>
      <w:r>
        <w:rPr>
          <w:rFonts w:ascii="Times New Roman" w:hAnsi="Times New Roman" w:eastAsia="宋体"/>
          <w:b w:val="0"/>
          <w:sz w:val="21"/>
        </w:rPr>
        <w:t>9.2 本协议不构成任何一方处理个人信息的授权或同意。如披露内容包含个人信息，披露方应确保已取得合法依据，双方应另行签署必要的个人信息处理文件，并完成适用的影响评估。</w:t>
      </w:r>
    </w:p>
    <w:p>
      <w:pPr>
        <w:keepNext w:val="0"/>
        <w:spacing w:before="0" w:after="60" w:line="300" w:lineRule="auto"/>
      </w:pPr>
      <w:r>
        <w:rPr>
          <w:rFonts w:ascii="Times New Roman" w:hAnsi="Times New Roman" w:eastAsia="宋体"/>
          <w:b w:val="0"/>
          <w:sz w:val="21"/>
        </w:rPr>
        <w:t>9.3 本协议不授权任何一方以对方名义对外作出陈述、承诺或使用对方商标、商号；未经对方书面同意，不得以对方名义宣传合作。</w:t>
      </w:r>
    </w:p>
    <w:p>
      <w:pPr>
        <w:keepNext w:val="0"/>
        <w:spacing w:before="0" w:after="60" w:line="300" w:lineRule="auto"/>
      </w:pPr>
      <w:r>
        <w:rPr>
          <w:rFonts w:ascii="Times New Roman" w:hAnsi="Times New Roman" w:eastAsia="宋体"/>
          <w:b w:val="0"/>
          <w:sz w:val="21"/>
        </w:rPr>
        <w:t>9.4 双方如需要开展第 9.1 条所列合作，应另行签署书面协议；本协议不构成对该等协议的预约、意向或授权。</w:t>
      </w:r>
    </w:p>
    <w:p>
      <w:pPr>
        <w:pStyle w:val="Heading2"/>
      </w:pPr>
      <w:r>
        <w:t>第十条  陈述、保证与合规</w:t>
      </w:r>
    </w:p>
    <w:p>
      <w:pPr>
        <w:keepNext w:val="0"/>
        <w:spacing w:before="0" w:after="60" w:line="300" w:lineRule="auto"/>
      </w:pPr>
      <w:r>
        <w:rPr>
          <w:rFonts w:ascii="Times New Roman" w:hAnsi="Times New Roman" w:eastAsia="宋体"/>
          <w:b w:val="0"/>
          <w:sz w:val="21"/>
        </w:rPr>
        <w:t>10.1 各方陈述并保证：其依法设立并有效存续，签署和履行本协议已取得必要的内部授权；签署人具有代表其签署本协议的权限。</w:t>
      </w:r>
    </w:p>
    <w:p>
      <w:pPr>
        <w:keepNext w:val="0"/>
        <w:spacing w:before="0" w:after="60" w:line="300" w:lineRule="auto"/>
      </w:pPr>
      <w:r>
        <w:rPr>
          <w:rFonts w:ascii="Times New Roman" w:hAnsi="Times New Roman" w:eastAsia="宋体"/>
          <w:b w:val="0"/>
          <w:sz w:val="21"/>
        </w:rPr>
        <w:t>10.2 各方保证其披露的保密信息不侵犯第三方知识产权、商业秘密或其他权利；涉及第三方信息的，披露方应确保有权披露，或在披露前取得必要同意。</w:t>
      </w:r>
    </w:p>
    <w:p>
      <w:pPr>
        <w:keepNext w:val="0"/>
        <w:spacing w:before="0" w:after="60" w:line="300" w:lineRule="auto"/>
      </w:pPr>
      <w:r>
        <w:rPr>
          <w:rFonts w:ascii="Times New Roman" w:hAnsi="Times New Roman" w:eastAsia="宋体"/>
          <w:b w:val="0"/>
          <w:sz w:val="21"/>
        </w:rPr>
        <w:t>10.3 各方应遵守适用的出口管制、经济制裁、数据保护和其他强制性规定。涉及受出口管制技术、个人信息或跨境传输的，应暂停披露并完成专项审查。</w:t>
      </w:r>
    </w:p>
    <w:p>
      <w:pPr>
        <w:keepNext w:val="0"/>
        <w:spacing w:before="0" w:after="60" w:line="300" w:lineRule="auto"/>
      </w:pPr>
      <w:r>
        <w:rPr>
          <w:rFonts w:ascii="Times New Roman" w:hAnsi="Times New Roman" w:eastAsia="宋体"/>
          <w:b w:val="0"/>
          <w:sz w:val="21"/>
        </w:rPr>
        <w:t>10.4 接收方不得以违反本协议的方式获取、使用或披露保密信息，也不得协助第三方实施上述行为。</w:t>
      </w:r>
    </w:p>
    <w:p>
      <w:pPr>
        <w:pStyle w:val="Heading2"/>
      </w:pPr>
      <w:r>
        <w:t>第十一条  通知</w:t>
      </w:r>
    </w:p>
    <w:p>
      <w:pPr>
        <w:keepNext w:val="0"/>
        <w:spacing w:before="0" w:after="60" w:line="300" w:lineRule="auto"/>
      </w:pPr>
      <w:r>
        <w:rPr>
          <w:rFonts w:ascii="Times New Roman" w:hAnsi="Times New Roman" w:eastAsia="宋体"/>
          <w:b w:val="0"/>
          <w:sz w:val="21"/>
        </w:rPr>
        <w:t>11.1 本协议项下通知应以书面形式发送至下列地址或双方另行书面指定的地址：</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通知事项</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甲方</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乙方</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收件部门/岗位</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电子邮箱</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邮寄地址</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联系人</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bl>
    <w:p>
      <w:pPr>
        <w:spacing w:after="60" w:line="300" w:lineRule="auto"/>
      </w:pPr>
    </w:p>
    <w:p>
      <w:pPr>
        <w:keepNext w:val="0"/>
        <w:spacing w:before="0" w:after="60" w:line="300" w:lineRule="auto"/>
      </w:pPr>
      <w:r>
        <w:rPr>
          <w:rFonts w:ascii="Times New Roman" w:hAnsi="Times New Roman" w:eastAsia="宋体"/>
          <w:b w:val="0"/>
          <w:sz w:val="21"/>
        </w:rPr>
        <w:t>11.2 通知在下列时间视为送达：（a）专人送达时签收；（b）快递送达时签收或拒收之日；（c）电子邮件进入指定系统时。法律禁止电子送达或双方另有约定的除外。</w:t>
      </w:r>
    </w:p>
    <w:p>
      <w:pPr>
        <w:keepNext w:val="0"/>
        <w:spacing w:before="0" w:after="60" w:line="300" w:lineRule="auto"/>
      </w:pPr>
      <w:r>
        <w:rPr>
          <w:rFonts w:ascii="Times New Roman" w:hAnsi="Times New Roman" w:eastAsia="宋体"/>
          <w:b w:val="0"/>
          <w:sz w:val="21"/>
        </w:rPr>
        <w:t>11.3 一方变更通知地址，应提前五（5）个工作日书面通知对方；未通知导致送达失败的，由变更方承担相应后果。</w:t>
      </w:r>
    </w:p>
    <w:p>
      <w:pPr>
        <w:keepNext w:val="0"/>
        <w:spacing w:before="0" w:after="60" w:line="300" w:lineRule="auto"/>
      </w:pPr>
      <w:r>
        <w:rPr>
          <w:rFonts w:ascii="Times New Roman" w:hAnsi="Times New Roman" w:eastAsia="宋体"/>
          <w:b w:val="0"/>
          <w:sz w:val="21"/>
        </w:rPr>
        <w:t>11.4 涉及泄露、依法披露、终止、返还销毁和争议的通知，应同时发送至双方书面指定的法务或合同管理邮箱。</w:t>
      </w:r>
    </w:p>
    <w:p>
      <w:pPr>
        <w:pStyle w:val="Heading2"/>
      </w:pPr>
      <w:r>
        <w:t>第十二条  转让与关联方参与</w:t>
      </w:r>
    </w:p>
    <w:p>
      <w:pPr>
        <w:keepNext w:val="0"/>
        <w:spacing w:before="0" w:after="60" w:line="300" w:lineRule="auto"/>
      </w:pPr>
      <w:r>
        <w:rPr>
          <w:rFonts w:ascii="Times New Roman" w:hAnsi="Times New Roman" w:eastAsia="宋体"/>
          <w:b w:val="0"/>
          <w:sz w:val="21"/>
        </w:rPr>
        <w:t>12.1 未经对方事先书面同意，任何一方不得将本协议项下的权利义务全部或部分转让给第三方，但因合并、分立、重组而转让且承继方书面承诺受本协议约束的除外。</w:t>
      </w:r>
    </w:p>
    <w:p>
      <w:pPr>
        <w:keepNext w:val="0"/>
        <w:spacing w:before="0" w:after="60" w:line="300" w:lineRule="auto"/>
      </w:pPr>
      <w:r>
        <w:rPr>
          <w:rFonts w:ascii="Times New Roman" w:hAnsi="Times New Roman" w:eastAsia="宋体"/>
          <w:b w:val="0"/>
          <w:sz w:val="21"/>
        </w:rPr>
        <w:t>12.2 关联方参与评估的，应列入附件二，并由接收方对其行为承担责任。未列入附件二的关联方不得接收保密信息。</w:t>
      </w:r>
    </w:p>
    <w:p>
      <w:pPr>
        <w:keepNext w:val="0"/>
        <w:spacing w:before="0" w:after="60" w:line="300" w:lineRule="auto"/>
      </w:pPr>
      <w:r>
        <w:rPr>
          <w:rFonts w:ascii="Times New Roman" w:hAnsi="Times New Roman" w:eastAsia="宋体"/>
          <w:b w:val="0"/>
          <w:sz w:val="21"/>
        </w:rPr>
        <w:t>12.3 接收方委托顾问的，应确保顾问仅为其评估目的服务，并承担不低于本协议的保密义务；接收方对顾问的行为承担责任。</w:t>
      </w:r>
    </w:p>
    <w:p>
      <w:pPr>
        <w:pStyle w:val="Heading2"/>
      </w:pPr>
      <w:r>
        <w:t>第十三条  期限、终止与存续</w:t>
      </w:r>
    </w:p>
    <w:p>
      <w:pPr>
        <w:keepNext w:val="0"/>
        <w:spacing w:before="0" w:after="60" w:line="300" w:lineRule="auto"/>
      </w:pPr>
      <w:r>
        <w:rPr>
          <w:rFonts w:ascii="Times New Roman" w:hAnsi="Times New Roman" w:eastAsia="宋体"/>
          <w:b w:val="0"/>
          <w:sz w:val="21"/>
        </w:rPr>
        <w:t>13.1 本协议自双方签署之日起生效，至第 5.1 条约定的有效期届满或双方书面终止时终止。</w:t>
      </w:r>
    </w:p>
    <w:p>
      <w:pPr>
        <w:keepNext w:val="0"/>
        <w:spacing w:before="0" w:after="60" w:line="300" w:lineRule="auto"/>
      </w:pPr>
      <w:r>
        <w:rPr>
          <w:rFonts w:ascii="Times New Roman" w:hAnsi="Times New Roman" w:eastAsia="宋体"/>
          <w:b w:val="0"/>
          <w:sz w:val="21"/>
        </w:rPr>
        <w:t>13.2 一方严重违反本协议，经守约方书面通知后十（10）个工作日内未纠正的，守约方可以终止本协议；终止不影响其就已有违约主张救济。</w:t>
      </w:r>
    </w:p>
    <w:p>
      <w:pPr>
        <w:keepNext w:val="0"/>
        <w:spacing w:before="0" w:after="60" w:line="300" w:lineRule="auto"/>
      </w:pPr>
      <w:r>
        <w:rPr>
          <w:rFonts w:ascii="Times New Roman" w:hAnsi="Times New Roman" w:eastAsia="宋体"/>
          <w:b w:val="0"/>
          <w:sz w:val="21"/>
        </w:rPr>
        <w:t>13.3 本协议终止或届满不影响第 5.2、5.3、5.5、6、7、8、11、14 条的效力，也不影响终止前已经产生的权利义务。</w:t>
      </w:r>
    </w:p>
    <w:p>
      <w:pPr>
        <w:pStyle w:val="Heading2"/>
      </w:pPr>
      <w:r>
        <w:t>第十四条  适用法律与争议解决</w:t>
      </w:r>
    </w:p>
    <w:p>
      <w:pPr>
        <w:keepNext w:val="0"/>
        <w:spacing w:before="0" w:after="60" w:line="300" w:lineRule="auto"/>
      </w:pPr>
      <w:r>
        <w:rPr>
          <w:rFonts w:ascii="Times New Roman" w:hAnsi="Times New Roman" w:eastAsia="宋体"/>
          <w:b w:val="0"/>
          <w:sz w:val="21"/>
        </w:rPr>
        <w:t>14.1 本协议的订立、效力、解释、履行和争议解决适用中华人民共和国法律（为本协议之目的，不包括香港特别行政区、澳门特别行政区和台湾地区法律）。</w:t>
      </w:r>
    </w:p>
    <w:p>
      <w:pPr>
        <w:keepNext w:val="0"/>
        <w:spacing w:before="0" w:after="60" w:line="300" w:lineRule="auto"/>
      </w:pPr>
      <w:r>
        <w:rPr>
          <w:rFonts w:ascii="Times New Roman" w:hAnsi="Times New Roman" w:eastAsia="宋体"/>
          <w:b w:val="0"/>
          <w:sz w:val="21"/>
        </w:rPr>
        <w:t>14.2 因本协议引起的或与本协议有关的争议，双方应先行友好协商；协商不成的，提交【填写甲方所在地/乙方所在地/合同签订地】有管辖权的人民法院诉讼解决。</w:t>
      </w:r>
    </w:p>
    <w:p>
      <w:pPr>
        <w:keepNext w:val="0"/>
        <w:spacing w:before="0" w:after="60" w:line="300" w:lineRule="auto"/>
      </w:pPr>
      <w:r>
        <w:rPr>
          <w:rFonts w:ascii="Times New Roman" w:hAnsi="Times New Roman" w:eastAsia="宋体"/>
          <w:b w:val="0"/>
          <w:sz w:val="21"/>
        </w:rPr>
        <w:t>14.3 双方确认所选地点与本协议争议具有实际联系；本条不排除法律规定的级别管辖和专属管辖。涉及境外主体、境外法院或仲裁的，不属于本模板覆盖范围，应转专项审查。</w:t>
      </w:r>
    </w:p>
    <w:p>
      <w:pPr>
        <w:pStyle w:val="Heading2"/>
      </w:pPr>
      <w:r>
        <w:t>第十五条  一般条款</w:t>
      </w:r>
    </w:p>
    <w:p>
      <w:pPr>
        <w:keepNext w:val="0"/>
        <w:spacing w:before="0" w:after="60" w:line="300" w:lineRule="auto"/>
      </w:pPr>
      <w:r>
        <w:rPr>
          <w:rFonts w:ascii="Times New Roman" w:hAnsi="Times New Roman" w:eastAsia="宋体"/>
          <w:b w:val="0"/>
          <w:sz w:val="21"/>
        </w:rPr>
        <w:t>15.1 本协议构成双方就保密事项的完整约定，取代此前就同一事项作出的口头或书面陈述；但双方另有明确书面约定的除外。</w:t>
      </w:r>
    </w:p>
    <w:p>
      <w:pPr>
        <w:keepNext w:val="0"/>
        <w:spacing w:before="0" w:after="60" w:line="300" w:lineRule="auto"/>
      </w:pPr>
      <w:r>
        <w:rPr>
          <w:rFonts w:ascii="Times New Roman" w:hAnsi="Times New Roman" w:eastAsia="宋体"/>
          <w:b w:val="0"/>
          <w:sz w:val="21"/>
        </w:rPr>
        <w:t>15.2 对本协议的任何修改、补充，应由双方授权代表签署书面文件后生效。邮件、会议纪要、即时通讯记录不当然构成修改，除非双方随后签署书面文件确认。</w:t>
      </w:r>
    </w:p>
    <w:p>
      <w:pPr>
        <w:keepNext w:val="0"/>
        <w:spacing w:before="0" w:after="60" w:line="300" w:lineRule="auto"/>
      </w:pPr>
      <w:r>
        <w:rPr>
          <w:rFonts w:ascii="Times New Roman" w:hAnsi="Times New Roman" w:eastAsia="宋体"/>
          <w:b w:val="0"/>
          <w:sz w:val="21"/>
        </w:rPr>
        <w:t>15.3 本协议任何条款被认定无效或不可执行，不影响其他条款的效力；双方应以最接近原条款目的的有效条款替代。</w:t>
      </w:r>
    </w:p>
    <w:p>
      <w:pPr>
        <w:keepNext w:val="0"/>
        <w:spacing w:before="0" w:after="60" w:line="300" w:lineRule="auto"/>
      </w:pPr>
      <w:r>
        <w:rPr>
          <w:rFonts w:ascii="Times New Roman" w:hAnsi="Times New Roman" w:eastAsia="宋体"/>
          <w:b w:val="0"/>
          <w:sz w:val="21"/>
        </w:rPr>
        <w:t>15.4 本协议一式两份，双方各执一份，具有同等效力。双方可以采用纸质签署或可靠电子签名；采用电子签名的，应保存可验证的原始文件、身份与授权、完整性和签署过程证据。</w:t>
      </w:r>
    </w:p>
    <w:p>
      <w:pPr>
        <w:keepNext w:val="0"/>
        <w:spacing w:before="0" w:after="60" w:line="300" w:lineRule="auto"/>
      </w:pPr>
      <w:r>
        <w:rPr>
          <w:rFonts w:ascii="Times New Roman" w:hAnsi="Times New Roman" w:eastAsia="宋体"/>
          <w:b w:val="0"/>
          <w:sz w:val="21"/>
        </w:rPr>
        <w:t>15.5 本协议以中文书写。如存在其他语言译本，仅供理解，中文版本为准，双方另有明确约定的除外。</w:t>
      </w:r>
    </w:p>
    <w:p>
      <w:pPr>
        <w:keepNext w:val="0"/>
        <w:spacing w:before="0" w:after="60" w:line="300" w:lineRule="auto"/>
      </w:pPr>
      <w:r>
        <w:rPr>
          <w:rFonts w:ascii="Times New Roman" w:hAnsi="Times New Roman" w:eastAsia="宋体"/>
          <w:b w:val="0"/>
          <w:sz w:val="21"/>
        </w:rPr>
        <w:t>15.6 双方确认已阅读并理解本协议全部条款，特别是第 5、7、8、14 条；双方有机会就上述条款提问并获得说明。</w:t>
      </w:r>
    </w:p>
    <w:p>
      <w:pPr>
        <w:spacing w:after="60" w:line="300" w:lineRule="auto"/>
      </w:pPr>
      <w:r>
        <w:br w:type="page"/>
      </w:r>
    </w:p>
    <w:p>
      <w:pPr>
        <w:pStyle w:val="Heading1"/>
      </w:pPr>
      <w:r>
        <w:t>附件一  保密信息与披露清单</w:t>
      </w:r>
    </w:p>
    <w:p>
      <w:pPr>
        <w:keepNext w:val="0"/>
        <w:spacing w:before="0" w:after="60" w:line="300" w:lineRule="auto"/>
      </w:pPr>
      <w:r>
        <w:rPr>
          <w:rFonts w:ascii="Times New Roman" w:hAnsi="Times New Roman" w:eastAsia="宋体"/>
          <w:b w:val="0"/>
          <w:color w:val="404040"/>
          <w:sz w:val="19"/>
        </w:rPr>
        <w:t>本附件由披露方在每一次披露时填写或更新。未列入本附件的信息，不当然丧失保密保护，但接收方仅在其实际知悉或应当知悉该信息为保密信息时承担义务。</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046"/>
        <w:gridCol w:w="1046"/>
        <w:gridCol w:w="1046"/>
        <w:gridCol w:w="1046"/>
        <w:gridCol w:w="1046"/>
        <w:gridCol w:w="1046"/>
        <w:gridCol w:w="1046"/>
        <w:gridCol w:w="1046"/>
        <w:gridCol w:w="1046"/>
      </w:tblGrid>
      <w:tr>
        <w:trPr>
          <w:tblHeader w:val="true"/>
        </w:trPr>
        <w:tc>
          <w:tcPr>
            <w:tcW w:type="dxa" w:w="397"/>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序号</w:t>
            </w:r>
          </w:p>
        </w:tc>
        <w:tc>
          <w:tcPr>
            <w:tcW w:type="dxa" w:w="907"/>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披露日期</w:t>
            </w:r>
          </w:p>
        </w:tc>
        <w:tc>
          <w:tcPr>
            <w:tcW w:type="dxa" w:w="1077"/>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披露方</w:t>
            </w:r>
          </w:p>
        </w:tc>
        <w:tc>
          <w:tcPr>
            <w:tcW w:type="dxa" w:w="1077"/>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接收方</w:t>
            </w:r>
          </w:p>
        </w:tc>
        <w:tc>
          <w:tcPr>
            <w:tcW w:type="dxa" w:w="1701"/>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信息类别/项目</w:t>
            </w:r>
          </w:p>
        </w:tc>
        <w:tc>
          <w:tcPr>
            <w:tcW w:type="dxa" w:w="1191"/>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载体与标识</w:t>
            </w:r>
          </w:p>
        </w:tc>
        <w:tc>
          <w:tcPr>
            <w:tcW w:type="dxa" w:w="964"/>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普通/商业秘密</w:t>
            </w:r>
          </w:p>
        </w:tc>
        <w:tc>
          <w:tcPr>
            <w:tcW w:type="dxa" w:w="1077"/>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接收人员范围</w:t>
            </w:r>
          </w:p>
        </w:tc>
        <w:tc>
          <w:tcPr>
            <w:tcW w:type="dxa" w:w="680"/>
            <w:vAlign w:val="center"/>
            <w:tcMar>
              <w:top w:w="60" w:type="dxa"/>
              <w:start w:w="90" w:type="dxa"/>
              <w:bottom w:w="60" w:type="dxa"/>
              <w:end w:w="90" w:type="dxa"/>
            </w:tcMar>
            <w:shd w:fill="1F4E79"/>
          </w:tcPr>
          <w:p>
            <w:pPr>
              <w:spacing w:after="0"/>
              <w:jc w:val="center"/>
            </w:pPr>
            <w:r>
              <w:rPr>
                <w:rFonts w:ascii="黑体" w:hAnsi="黑体" w:eastAsia="黑体"/>
                <w:b/>
                <w:color w:val="FFFFFF"/>
                <w:sz w:val="15"/>
              </w:rPr>
              <w:t>备注</w:t>
            </w:r>
          </w:p>
        </w:tc>
      </w:tr>
      <w:tr>
        <w:trPr>
          <w:cantSplit/>
        </w:trPr>
        <w:tc>
          <w:tcPr>
            <w:tcW w:type="dxa" w:w="39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5"/>
              </w:rPr>
              <w:t>1</w:t>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5"/>
              </w:rPr>
              <w:t>【日期】</w:t>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t>【甲方/乙方】</w:t>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t>【甲方/乙方】</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5"/>
              </w:rPr>
              <w:t>【技术方案/报价/实施计划】</w:t>
            </w:r>
          </w:p>
        </w:tc>
        <w:tc>
          <w:tcPr>
            <w:tcW w:type="dxa" w:w="1191"/>
            <w:vAlign w:val="center"/>
            <w:tcMar>
              <w:top w:w="60" w:type="dxa"/>
              <w:start w:w="90" w:type="dxa"/>
              <w:bottom w:w="60" w:type="dxa"/>
              <w:end w:w="90" w:type="dxa"/>
            </w:tcMar>
          </w:tcPr>
          <w:p>
            <w:pPr>
              <w:spacing w:after="0" w:line="276" w:lineRule="auto"/>
            </w:pPr>
            <w:r>
              <w:rPr>
                <w:rFonts w:ascii="Times New Roman" w:hAnsi="Times New Roman" w:eastAsia="宋体"/>
                <w:b w:val="0"/>
                <w:sz w:val="15"/>
              </w:rPr>
              <w:t>【邮件/文档/会议】</w:t>
            </w:r>
          </w:p>
        </w:tc>
        <w:tc>
          <w:tcPr>
            <w:tcW w:type="dxa" w:w="964"/>
            <w:vAlign w:val="center"/>
            <w:tcMar>
              <w:top w:w="60" w:type="dxa"/>
              <w:start w:w="90" w:type="dxa"/>
              <w:bottom w:w="60" w:type="dxa"/>
              <w:end w:w="90" w:type="dxa"/>
            </w:tcMar>
          </w:tcPr>
          <w:p>
            <w:pPr>
              <w:spacing w:after="0" w:line="276" w:lineRule="auto"/>
            </w:pPr>
            <w:r>
              <w:rPr>
                <w:rFonts w:ascii="Times New Roman" w:hAnsi="Times New Roman" w:eastAsia="宋体"/>
                <w:b w:val="0"/>
                <w:sz w:val="15"/>
              </w:rPr>
              <w:t>【普通/商业秘密】</w:t>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t>【岗位/名单】</w:t>
            </w:r>
          </w:p>
        </w:tc>
        <w:tc>
          <w:tcPr>
            <w:tcW w:type="dxa" w:w="680"/>
            <w:vAlign w:val="center"/>
            <w:tcMar>
              <w:top w:w="60" w:type="dxa"/>
              <w:start w:w="90" w:type="dxa"/>
              <w:bottom w:w="60" w:type="dxa"/>
              <w:end w:w="90" w:type="dxa"/>
            </w:tcMar>
          </w:tcPr>
          <w:p>
            <w:pPr>
              <w:spacing w:after="0" w:line="276" w:lineRule="auto"/>
            </w:pPr>
            <w:r>
              <w:rPr>
                <w:rFonts w:ascii="Times New Roman" w:hAnsi="Times New Roman" w:eastAsia="宋体"/>
                <w:b w:val="0"/>
                <w:sz w:val="15"/>
              </w:rPr>
              <w:t>【填写】</w:t>
            </w:r>
          </w:p>
        </w:tc>
      </w:tr>
      <w:tr>
        <w:trPr>
          <w:cantSplit/>
        </w:trPr>
        <w:tc>
          <w:tcPr>
            <w:tcW w:type="dxa" w:w="39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5"/>
              </w:rPr>
              <w:t>2</w:t>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191"/>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964"/>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680"/>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r>
      <w:tr>
        <w:trPr>
          <w:cantSplit/>
        </w:trPr>
        <w:tc>
          <w:tcPr>
            <w:tcW w:type="dxa" w:w="39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5"/>
              </w:rPr>
              <w:t>3</w:t>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191"/>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964"/>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1077"/>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c>
          <w:tcPr>
            <w:tcW w:type="dxa" w:w="680"/>
            <w:vAlign w:val="center"/>
            <w:tcMar>
              <w:top w:w="60" w:type="dxa"/>
              <w:start w:w="90" w:type="dxa"/>
              <w:bottom w:w="60" w:type="dxa"/>
              <w:end w:w="90" w:type="dxa"/>
            </w:tcMar>
          </w:tcPr>
          <w:p>
            <w:pPr>
              <w:spacing w:after="0" w:line="276" w:lineRule="auto"/>
            </w:pPr>
            <w:r>
              <w:rPr>
                <w:rFonts w:ascii="Times New Roman" w:hAnsi="Times New Roman" w:eastAsia="宋体"/>
                <w:b w:val="0"/>
                <w:sz w:val="15"/>
              </w:rPr>
            </w:r>
          </w:p>
        </w:tc>
      </w:tr>
    </w:tbl>
    <w:p>
      <w:pPr>
        <w:spacing w:after="60" w:line="300" w:lineRule="auto"/>
      </w:pPr>
    </w:p>
    <w:p>
      <w:pPr>
        <w:keepNext w:val="0"/>
        <w:spacing w:before="0" w:after="60" w:line="300" w:lineRule="auto"/>
      </w:pPr>
      <w:r>
        <w:rPr>
          <w:rFonts w:ascii="Times New Roman" w:hAnsi="Times New Roman" w:eastAsia="宋体"/>
          <w:b w:val="0"/>
          <w:color w:val="595959"/>
          <w:sz w:val="17"/>
        </w:rPr>
        <w:t>填写提示：商业秘密应单独标识并说明保密措施；“普通信息”不得在事后概括升级为商业秘密以延长保护期。</w:t>
      </w:r>
    </w:p>
    <w:p>
      <w:pPr>
        <w:spacing w:after="60" w:line="300" w:lineRule="auto"/>
      </w:pPr>
      <w:r>
        <w:br w:type="page"/>
      </w:r>
    </w:p>
    <w:p>
      <w:pPr>
        <w:pStyle w:val="Heading1"/>
      </w:pPr>
      <w:r>
        <w:t>附件二  接收人员与关联方清单</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345"/>
        <w:gridCol w:w="1345"/>
        <w:gridCol w:w="1345"/>
        <w:gridCol w:w="1345"/>
        <w:gridCol w:w="1345"/>
        <w:gridCol w:w="1345"/>
        <w:gridCol w:w="1345"/>
      </w:tblGrid>
      <w:tr>
        <w:trPr>
          <w:tblHeader w:val="true"/>
        </w:trPr>
        <w:tc>
          <w:tcPr>
            <w:tcW w:type="dxa" w:w="113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类别</w:t>
            </w:r>
          </w:p>
        </w:tc>
        <w:tc>
          <w:tcPr>
            <w:tcW w:type="dxa" w:w="181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名称/岗位</w:t>
            </w:r>
          </w:p>
        </w:tc>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所属主体</w:t>
            </w:r>
          </w:p>
        </w:tc>
        <w:tc>
          <w:tcPr>
            <w:tcW w:type="dxa" w:w="147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参与项目</w:t>
            </w:r>
          </w:p>
        </w:tc>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访问范围</w:t>
            </w:r>
          </w:p>
        </w:tc>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保密承诺/日期</w:t>
            </w:r>
          </w:p>
        </w:tc>
        <w:tc>
          <w:tcPr>
            <w:tcW w:type="dxa" w:w="124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复核日期</w:t>
            </w:r>
          </w:p>
        </w:tc>
      </w:tr>
      <w:tr>
        <w:trPr>
          <w:cantSplit/>
        </w:trPr>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员工</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【岗位】</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【甲方/乙方】</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t>【项目】</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【信息类别】</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【已签/日期】</w:t>
            </w:r>
          </w:p>
        </w:tc>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r>
      <w:tr>
        <w:trPr>
          <w:cantSplit/>
        </w:trPr>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关联方</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【企业全称】</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【关联关系】</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t>【项目】</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【信息类别】</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【已签/日期】</w:t>
            </w:r>
          </w:p>
        </w:tc>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r>
      <w:tr>
        <w:trPr>
          <w:cantSplit/>
        </w:trPr>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专业顾问</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【机构/岗位】</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【顾问机构】</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t>【项目】</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【信息类别】</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【已签/日期】</w:t>
            </w:r>
          </w:p>
        </w:tc>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r>
      <w:tr>
        <w:trPr>
          <w:cantSplit/>
        </w:trPr>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其他</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【经披露方书面同意】</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t>【项目】</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【信息类别】</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【已签/日期】</w:t>
            </w:r>
          </w:p>
        </w:tc>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r>
    </w:tbl>
    <w:p>
      <w:pPr>
        <w:spacing w:after="60" w:line="300" w:lineRule="auto"/>
      </w:pPr>
    </w:p>
    <w:p>
      <w:pPr>
        <w:keepNext w:val="0"/>
        <w:spacing w:before="0" w:after="60" w:line="300" w:lineRule="auto"/>
      </w:pPr>
      <w:r>
        <w:rPr>
          <w:rFonts w:ascii="Times New Roman" w:hAnsi="Times New Roman" w:eastAsia="宋体"/>
          <w:b w:val="0"/>
          <w:color w:val="595959"/>
          <w:sz w:val="17"/>
        </w:rPr>
        <w:t>复核要求：至少每年一次；项目结束、人员离职或职责变化时立即调整。复核记录由接收方保存，披露方合理要求时提供。</w:t>
      </w:r>
    </w:p>
    <w:p>
      <w:pPr>
        <w:spacing w:after="60" w:line="300" w:lineRule="auto"/>
      </w:pPr>
      <w:r>
        <w:br w:type="page"/>
      </w:r>
    </w:p>
    <w:p>
      <w:pPr>
        <w:pStyle w:val="Heading1"/>
      </w:pPr>
      <w:r>
        <w:t>附件三  返还/销毁证明</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项目</w:t>
            </w:r>
          </w:p>
        </w:tc>
        <w:tc>
          <w:tcPr>
            <w:tcW w:type="dxa" w:w="5953"/>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内容</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合同编号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披露方/接收方</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处理依据</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【协议终止/目的完成/披露方要求/其他】</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处理方式</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【返还/销毁/返还并销毁】</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处理范围</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【文件、系统、设备、备份、工作底稿】</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处理日期</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执行人</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【姓名/岗位】</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无法立即删除的备份</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【介质、范围、轮转周期、预计清除日期】</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留存副本</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【有无；法律依据；保管人；销毁日期】</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证明附件</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【销毁记录/快递单/系统截图/第三方证明】</w:t>
            </w:r>
          </w:p>
        </w:tc>
      </w:tr>
    </w:tbl>
    <w:p>
      <w:pPr>
        <w:spacing w:after="60" w:line="300" w:lineRule="auto"/>
      </w:pPr>
    </w:p>
    <w:p>
      <w:pPr>
        <w:keepNext w:val="0"/>
        <w:spacing w:before="0" w:after="60" w:line="300" w:lineRule="auto"/>
      </w:pPr>
      <w:r>
        <w:rPr>
          <w:rFonts w:ascii="Times New Roman" w:hAnsi="Times New Roman" w:eastAsia="宋体"/>
          <w:b w:val="0"/>
          <w:sz w:val="19"/>
        </w:rPr>
        <w:t>接收方声明：上述处理真实、完整；留存副本继续受保密义务约束，仅用于法定或合规目的。</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3402"/>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接收方（盖章）</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执行人（签字）</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日期</w:t>
            </w:r>
          </w:p>
        </w:tc>
      </w:tr>
      <w:tr>
        <w:trPr>
          <w:cantSplit/>
        </w:trPr>
        <w:tc>
          <w:tcPr>
            <w:tcW w:type="dxa" w:w="3402"/>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【年】年【月】月【日】日</w:t>
            </w:r>
          </w:p>
        </w:tc>
      </w:tr>
    </w:tbl>
    <w:p>
      <w:pPr>
        <w:spacing w:after="60" w:line="300" w:lineRule="auto"/>
      </w:pPr>
    </w:p>
    <w:p>
      <w:pPr>
        <w:spacing w:after="60" w:line="300" w:lineRule="auto"/>
      </w:pPr>
      <w:r>
        <w:br w:type="page"/>
      </w:r>
    </w:p>
    <w:p>
      <w:pPr>
        <w:pStyle w:val="Heading1"/>
        <w:pageBreakBefore/>
      </w:pPr>
      <w:r>
        <w:t>签署页</w:t>
      </w:r>
    </w:p>
    <w:p>
      <w:pPr>
        <w:keepNext w:val="0"/>
        <w:spacing w:before="0" w:after="60" w:line="300" w:lineRule="auto"/>
      </w:pPr>
      <w:r>
        <w:rPr>
          <w:rFonts w:ascii="Times New Roman" w:hAnsi="Times New Roman" w:eastAsia="宋体"/>
          <w:b w:val="0"/>
          <w:sz w:val="19"/>
        </w:rPr>
        <w:t>双方确认：已阅读并理解本协议及“重要条款提示”；签署人已获得合法授权；本协议正文、附件一至三和本签署页共同构成完整协议。</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项目</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甲方</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乙方</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主体全称（盖章）</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【填写并盖章】</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【填写并盖章】</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统一社会信用代码</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法定代表人或授权代表</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【签字】</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【签字】</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签署日期</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【年】年【月】月【日】日</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【年】年【月】月【日】日</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签署地点</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通知地址</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联系人/邮箱</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bl>
    <w:p>
      <w:pPr>
        <w:spacing w:after="60" w:line="300" w:lineRule="auto"/>
      </w:pPr>
    </w:p>
    <w:p>
      <w:pPr>
        <w:keepNext w:val="0"/>
        <w:spacing w:before="160" w:after="60" w:line="300" w:lineRule="auto"/>
      </w:pPr>
      <w:r>
        <w:rPr>
          <w:rFonts w:ascii="Times New Roman" w:hAnsi="Times New Roman" w:eastAsia="宋体"/>
          <w:b/>
          <w:sz w:val="21"/>
        </w:rPr>
        <w:t>附件清单（签署时逐项勾选）：</w:t>
      </w:r>
    </w:p>
    <w:p>
      <w:pPr>
        <w:keepNext w:val="0"/>
        <w:spacing w:before="0" w:after="60" w:line="300" w:lineRule="auto"/>
      </w:pPr>
      <w:r>
        <w:rPr>
          <w:rFonts w:ascii="Times New Roman" w:hAnsi="Times New Roman" w:eastAsia="宋体"/>
          <w:b w:val="0"/>
          <w:sz w:val="19"/>
        </w:rPr>
        <w:t>☐ 附件一  保密信息与披露清单（至少首行已填）</w:t>
      </w:r>
    </w:p>
    <w:p>
      <w:pPr>
        <w:keepNext w:val="0"/>
        <w:spacing w:before="0" w:after="60" w:line="300" w:lineRule="auto"/>
      </w:pPr>
      <w:r>
        <w:rPr>
          <w:rFonts w:ascii="Times New Roman" w:hAnsi="Times New Roman" w:eastAsia="宋体"/>
          <w:b w:val="0"/>
          <w:sz w:val="19"/>
        </w:rPr>
        <w:t>☐ 附件二  接收人员与关联方清单（至少首行已填或注明“暂无”）</w:t>
      </w:r>
    </w:p>
    <w:p>
      <w:pPr>
        <w:keepNext w:val="0"/>
        <w:spacing w:before="0" w:after="60" w:line="300" w:lineRule="auto"/>
      </w:pPr>
      <w:r>
        <w:rPr>
          <w:rFonts w:ascii="Times New Roman" w:hAnsi="Times New Roman" w:eastAsia="宋体"/>
          <w:b w:val="0"/>
          <w:sz w:val="19"/>
        </w:rPr>
        <w:t>☐ 附件三  返还/销毁证明（模板，履约时填写）</w:t>
      </w:r>
    </w:p>
    <w:p>
      <w:pPr>
        <w:keepNext w:val="0"/>
        <w:spacing w:before="0" w:after="60" w:line="300" w:lineRule="auto"/>
      </w:pPr>
      <w:r>
        <w:rPr>
          <w:rFonts w:ascii="Times New Roman" w:hAnsi="Times New Roman" w:eastAsia="宋体"/>
          <w:b w:val="0"/>
          <w:sz w:val="19"/>
        </w:rPr>
        <w:t>☐ 重要条款提示（已随签署文本保留）</w:t>
      </w:r>
    </w:p>
    <w:sectPr w:rsidR="00FC693F" w:rsidRPr="0006063C" w:rsidSect="00034616">
      <w:headerReference w:type="default" r:id="rId9"/>
      <w:footerReference w:type="default" r:id="rId10"/>
      <w:pgSz w:w="11906" w:h="16838"/>
      <w:pgMar w:top="1247" w:right="1247" w:bottom="1134" w:left="124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宋体"/>
        <w:color w:val="808080"/>
        <w:sz w:val="17"/>
      </w:rPr>
      <w:t xml:space="preserve">第 </w:t>
    </w:r>
    <w:r>
      <w:rPr>
        <w:rFonts w:ascii="Times New Roman" w:hAnsi="Times New Roman" w:eastAsia="宋体"/>
        <w:color w:val="808080"/>
        <w:sz w:val="17"/>
      </w:rPr>
      <w:fldChar w:fldCharType="begin"/>
    </w:r>
    <w:r>
      <w:rPr>
        <w:rFonts w:ascii="Times New Roman" w:hAnsi="Times New Roman" w:eastAsia="宋体"/>
        <w:color w:val="808080"/>
        <w:sz w:val="17"/>
      </w:rPr>
      <w:instrText xml:space="preserve">PAGE</w:instrText>
    </w:r>
    <w:r>
      <w:rPr>
        <w:rFonts w:ascii="Times New Roman" w:hAnsi="Times New Roman" w:eastAsia="宋体"/>
        <w:color w:val="808080"/>
        <w:sz w:val="17"/>
      </w:rPr>
      <w:fldChar w:fldCharType="end"/>
    </w:r>
    <w:r>
      <w:rPr>
        <w:rFonts w:ascii="Times New Roman" w:hAnsi="Times New Roman" w:eastAsia="宋体"/>
        <w:color w:val="808080"/>
        <w:sz w:val="17"/>
      </w:rPr>
      <w:t xml:space="preserve"> 页 / 共 </w:t>
    </w:r>
    <w:r>
      <w:rPr>
        <w:rFonts w:ascii="Times New Roman" w:hAnsi="Times New Roman" w:eastAsia="宋体"/>
        <w:color w:val="808080"/>
        <w:sz w:val="17"/>
      </w:rPr>
      <w:fldChar w:fldCharType="begin"/>
    </w:r>
    <w:r>
      <w:rPr>
        <w:rFonts w:ascii="Times New Roman" w:hAnsi="Times New Roman" w:eastAsia="宋体"/>
        <w:color w:val="808080"/>
        <w:sz w:val="17"/>
      </w:rPr>
      <w:instrText xml:space="preserve">NUMPAGES</w:instrText>
    </w:r>
    <w:r>
      <w:rPr>
        <w:rFonts w:ascii="Times New Roman" w:hAnsi="Times New Roman" w:eastAsia="宋体"/>
        <w:color w:val="808080"/>
        <w:sz w:val="17"/>
      </w:rPr>
      <w:fldChar w:fldCharType="end"/>
    </w:r>
    <w:r>
      <w:rPr>
        <w:rFonts w:ascii="Times New Roman" w:hAnsi="Times New Roman" w:eastAsia="宋体"/>
        <w:color w:val="808080"/>
        <w:sz w:val="17"/>
      </w:rPr>
      <w:t xml:space="preserve"> 页</w:t>
    </w:r>
    <w:r>
      <w:rPr>
        <w:rFonts w:ascii="Times New Roman" w:hAnsi="Times New Roman" w:eastAsia="宋体"/>
        <w:color w:val="A6A6A6"/>
        <w:sz w:val="16"/>
      </w:rPr>
      <w:t xml:space="preserve">    法务OPC · M01 合同基础设施 · 模拟模板</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BFBFBF"/>
      </w:pBdr>
    </w:pPr>
    <w:r/>
    <w:r>
      <w:rPr>
        <w:rFonts w:ascii="Times New Roman" w:hAnsi="Times New Roman" w:eastAsia="宋体"/>
        <w:color w:val="7F7F7F"/>
        <w:sz w:val="16"/>
      </w:rPr>
      <w:t>TPL-NDA-MUT-01  ·  双向保密协议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8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288" w:lineRule="auto"/>
      <w:outlineLvl w:val="0"/>
    </w:pPr>
    <w:rPr>
      <w:rFonts w:asciiTheme="majorHAnsi" w:eastAsiaTheme="majorEastAsia" w:hAnsiTheme="majorHAnsi" w:cstheme="majorBidi" w:ascii="黑体" w:hAnsi="黑体" w:eastAsia="黑体"/>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88" w:lineRule="auto"/>
      <w:outlineLvl w:val="1"/>
    </w:pPr>
    <w:rPr>
      <w:rFonts w:asciiTheme="majorHAnsi" w:eastAsiaTheme="majorEastAsia" w:hAnsiTheme="majorHAnsi" w:cstheme="majorBidi" w:ascii="黑体" w:hAnsi="黑体" w:eastAsia="黑体"/>
      <w:b/>
      <w:bCs/>
      <w:color w:val="2E4B66"/>
      <w:sz w:val="25"/>
      <w:szCs w:val="26"/>
    </w:rPr>
  </w:style>
  <w:style w:type="paragraph" w:styleId="Heading3">
    <w:name w:val="heading 3"/>
    <w:basedOn w:val="Normal"/>
    <w:next w:val="Normal"/>
    <w:link w:val="Heading3Char"/>
    <w:uiPriority w:val="9"/>
    <w:unhideWhenUsed/>
    <w:qFormat/>
    <w:rsid w:val="00FC693F"/>
    <w:pPr>
      <w:keepNext/>
      <w:keepLines/>
      <w:spacing w:before="160" w:after="80" w:line="288" w:lineRule="auto"/>
      <w:outlineLvl w:val="2"/>
    </w:pPr>
    <w:rPr>
      <w:rFonts w:asciiTheme="majorHAnsi" w:eastAsiaTheme="majorEastAsia" w:hAnsiTheme="majorHAnsi" w:cstheme="majorBidi" w:ascii="黑体" w:hAnsi="黑体" w:eastAsia="黑体"/>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312" w:lineRule="auto"/>
      <w:contextualSpacing/>
    </w:pPr>
    <w:rPr>
      <w:rFonts w:ascii="Times New Roman" w:hAnsi="Times New Roman" w:eastAsia="宋体"/>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312" w:lineRule="auto"/>
      <w:contextualSpacing/>
    </w:pPr>
    <w:rPr>
      <w:rFonts w:ascii="Times New Roman" w:hAnsi="Times New Roman" w:eastAsia="宋体"/>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双向保密协议（可填写模板）v1.1</dc:title>
  <dc:subject>M01 合同基础设施 · NDA 模板</dc:subject>
  <dc:creator>法务OPC</dc:creator>
  <cp:keywords>双向保密协议,NDA,商业秘密,合同模板</cp:keywords>
  <dc:description>2026-10-30 验收修订：与M01正文v0.5和配套v1.1一致；模拟模板，正式使用前核验场景、授权及最新法律。</dc:description>
  <cp:lastModifiedBy>法务OPC</cp:lastModifiedBy>
  <cp:revision>1</cp:revision>
  <dcterms:created xsi:type="dcterms:W3CDTF">2013-12-23T23:15:00Z</dcterms:created>
  <dcterms:modified xsi:type="dcterms:W3CDTF">2013-12-23T23:15:00Z</dcterms:modified>
  <cp:category>合同模板</cp:category>
  <cp:version>v1.1</cp:version>
</cp:coreProperties>
</file>