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800" w:after="240" w:line="324" w:lineRule="auto"/>
        <w:jc w:val="center"/>
      </w:pPr>
      <w:r>
        <w:t>M01 合同基础设施 · 可填写模板</w:t>
      </w:r>
    </w:p>
    <w:p>
      <w:pPr>
        <w:keepNext w:val="0"/>
        <w:spacing w:before="0" w:after="160" w:line="264" w:lineRule="auto"/>
        <w:jc w:val="center"/>
      </w:pPr>
      <w:r>
        <w:t>SaaS 采购合同</w:t>
      </w:r>
    </w:p>
    <w:p>
      <w:pPr>
        <w:keepNext w:val="0"/>
        <w:spacing w:before="0" w:after="200" w:line="324" w:lineRule="auto"/>
        <w:jc w:val="center"/>
      </w:pPr>
      <w:r>
        <w:t>SAAS PROCUREMENT AGREEMENT  ·  主合同 + 订购单 + 开通核验 + SLA + 数据处理附表 + 退出清单</w:t>
      </w:r>
    </w:p>
    <w:tbl>
      <w:tblPr>
        <w:tblW w:type="auto" w:w="0"/>
        <w:jc w:val="center"/>
        <w:tblLook w:firstColumn="1" w:firstRow="1" w:lastColumn="0" w:lastRow="0" w:noHBand="0" w:noVBand="1" w:val="04A0"/>
      </w:tblPr>
      <w:tblGrid>
        <w:gridCol w:w="9412"/>
      </w:tblGrid>
      <w:tr>
        <w:tc>
          <w:tcPr>
            <w:tcW w:type="dxa" w:w="6803"/>
            <w:shd w:fill="1F4E79"/>
          </w:tcPr>
          <w:p>
            <w:pPr>
              <w:spacing w:after="0"/>
            </w:pPr>
            <w:r>
              <w:t xml:space="preserve"> </w:t>
            </w:r>
          </w:p>
        </w:tc>
      </w:tr>
    </w:tbl>
    <w:p>
      <w:pPr>
        <w:keepNext w:val="0"/>
        <w:spacing w:before="0" w:after="0" w:line="40" w:lineRule="exact"/>
      </w:pPr>
      <w:r>
        <w:rPr>
          <w:sz w:val="4"/>
        </w:rPr>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381"/>
            <w:vAlign w:val="center"/>
            <w:tcMar>
              <w:top w:w="60" w:type="dxa"/>
              <w:start w:w="90" w:type="dxa"/>
              <w:bottom w:w="60" w:type="dxa"/>
              <w:end w:w="90" w:type="dxa"/>
            </w:tcMar>
            <w:shd w:fill="2E4B66"/>
          </w:tcPr>
          <w:p>
            <w:pPr>
              <w:spacing w:after="0"/>
              <w:jc w:val="center"/>
            </w:pPr>
            <w:r>
              <w:t>文件信息</w:t>
            </w:r>
          </w:p>
        </w:tc>
        <w:tc>
          <w:tcPr>
            <w:tcW w:type="dxa" w:w="5953"/>
            <w:vAlign w:val="center"/>
            <w:tcMar>
              <w:top w:w="60" w:type="dxa"/>
              <w:start w:w="90" w:type="dxa"/>
              <w:bottom w:w="60" w:type="dxa"/>
              <w:end w:w="90" w:type="dxa"/>
            </w:tcMar>
            <w:shd w:fill="2E4B66"/>
          </w:tcPr>
          <w:p>
            <w:pPr>
              <w:spacing w:after="0"/>
              <w:jc w:val="center"/>
            </w:pPr>
            <w:r>
              <w:t>内容</w:t>
            </w:r>
          </w:p>
        </w:tc>
      </w:tr>
      <w:tr>
        <w:trPr>
          <w:cantSplit/>
        </w:trPr>
        <w:tc>
          <w:tcPr>
            <w:tcW w:type="dxa" w:w="2381"/>
            <w:vAlign w:val="center"/>
            <w:tcMar>
              <w:top w:w="60" w:type="dxa"/>
              <w:start w:w="90" w:type="dxa"/>
              <w:bottom w:w="60" w:type="dxa"/>
              <w:end w:w="90" w:type="dxa"/>
            </w:tcMar>
          </w:tcPr>
          <w:p>
            <w:pPr>
              <w:spacing w:after="0" w:line="276" w:lineRule="auto"/>
            </w:pPr>
            <w:r>
              <w:t>模板编号</w:t>
            </w:r>
          </w:p>
        </w:tc>
        <w:tc>
          <w:tcPr>
            <w:tcW w:type="dxa" w:w="5953"/>
            <w:vAlign w:val="center"/>
            <w:tcMar>
              <w:top w:w="60" w:type="dxa"/>
              <w:start w:w="90" w:type="dxa"/>
              <w:bottom w:w="60" w:type="dxa"/>
              <w:end w:w="90" w:type="dxa"/>
            </w:tcMar>
          </w:tcPr>
          <w:p>
            <w:pPr>
              <w:spacing w:after="0" w:line="276" w:lineRule="auto"/>
            </w:pPr>
            <w:r>
              <w:t>TPL-SAAS-BUY-01</w:t>
            </w:r>
          </w:p>
        </w:tc>
      </w:tr>
      <w:tr>
        <w:trPr>
          <w:cantSplit/>
        </w:trPr>
        <w:tc>
          <w:tcPr>
            <w:tcW w:type="dxa" w:w="2381"/>
            <w:vAlign w:val="center"/>
            <w:tcMar>
              <w:top w:w="60" w:type="dxa"/>
              <w:start w:w="90" w:type="dxa"/>
              <w:bottom w:w="60" w:type="dxa"/>
              <w:end w:w="90" w:type="dxa"/>
            </w:tcMar>
          </w:tcPr>
          <w:p>
            <w:pPr>
              <w:spacing w:after="0" w:line="276" w:lineRule="auto"/>
            </w:pPr>
            <w:r>
              <w:t>模板版本</w:t>
            </w:r>
          </w:p>
        </w:tc>
        <w:tc>
          <w:tcPr>
            <w:tcW w:type="dxa" w:w="5953"/>
            <w:vAlign w:val="center"/>
            <w:tcMar>
              <w:top w:w="60" w:type="dxa"/>
              <w:start w:w="90" w:type="dxa"/>
              <w:bottom w:w="60" w:type="dxa"/>
              <w:end w:w="90" w:type="dxa"/>
            </w:tcMar>
          </w:tcPr>
          <w:p>
            <w:pPr>
              <w:spacing w:after="0" w:line="276" w:lineRule="auto"/>
            </w:pPr>
            <w:r>
              <w:t>v1.1（2026-10-30 首次发布）</w:t>
            </w:r>
          </w:p>
        </w:tc>
      </w:tr>
      <w:tr>
        <w:trPr>
          <w:cantSplit/>
        </w:trPr>
        <w:tc>
          <w:tcPr>
            <w:tcW w:type="dxa" w:w="2381"/>
            <w:vAlign w:val="center"/>
            <w:tcMar>
              <w:top w:w="60" w:type="dxa"/>
              <w:start w:w="90" w:type="dxa"/>
              <w:bottom w:w="60" w:type="dxa"/>
              <w:end w:w="90" w:type="dxa"/>
            </w:tcMar>
          </w:tcPr>
          <w:p>
            <w:pPr>
              <w:spacing w:after="0" w:line="276" w:lineRule="auto"/>
            </w:pPr>
            <w:r>
              <w:t>适用交易</w:t>
            </w:r>
          </w:p>
        </w:tc>
        <w:tc>
          <w:tcPr>
            <w:tcW w:type="dxa" w:w="5953"/>
            <w:vAlign w:val="center"/>
            <w:tcMar>
              <w:top w:w="60" w:type="dxa"/>
              <w:start w:w="90" w:type="dxa"/>
              <w:bottom w:w="60" w:type="dxa"/>
              <w:end w:w="90" w:type="dxa"/>
            </w:tcMar>
          </w:tcPr>
          <w:p>
            <w:pPr>
              <w:spacing w:after="0" w:line="276" w:lineRule="auto"/>
            </w:pPr>
            <w:r>
              <w:t>我方作为采购方，向境内企业采购境内多租户部署的 SaaS 订阅服务；普通企业应用，境内服务团队</w:t>
            </w:r>
          </w:p>
        </w:tc>
      </w:tr>
      <w:tr>
        <w:trPr>
          <w:cantSplit/>
        </w:trPr>
        <w:tc>
          <w:tcPr>
            <w:tcW w:type="dxa" w:w="2381"/>
            <w:vAlign w:val="center"/>
            <w:tcMar>
              <w:top w:w="60" w:type="dxa"/>
              <w:start w:w="90" w:type="dxa"/>
              <w:bottom w:w="60" w:type="dxa"/>
              <w:end w:w="90" w:type="dxa"/>
            </w:tcMar>
          </w:tcPr>
          <w:p>
            <w:pPr>
              <w:spacing w:after="0" w:line="276" w:lineRule="auto"/>
            </w:pPr>
            <w:r>
              <w:t>我方角色</w:t>
            </w:r>
          </w:p>
        </w:tc>
        <w:tc>
          <w:tcPr>
            <w:tcW w:type="dxa" w:w="5953"/>
            <w:vAlign w:val="center"/>
            <w:tcMar>
              <w:top w:w="60" w:type="dxa"/>
              <w:start w:w="90" w:type="dxa"/>
              <w:bottom w:w="60" w:type="dxa"/>
              <w:end w:w="90" w:type="dxa"/>
            </w:tcMar>
          </w:tcPr>
          <w:p>
            <w:pPr>
              <w:spacing w:after="0" w:line="276" w:lineRule="auto"/>
            </w:pPr>
            <w:r>
              <w:t>采购方/客户/个人信息处理者（如涉及个人信息）</w:t>
            </w:r>
          </w:p>
        </w:tc>
      </w:tr>
      <w:tr>
        <w:trPr>
          <w:cantSplit/>
        </w:trPr>
        <w:tc>
          <w:tcPr>
            <w:tcW w:type="dxa" w:w="2381"/>
            <w:vAlign w:val="center"/>
            <w:tcMar>
              <w:top w:w="60" w:type="dxa"/>
              <w:start w:w="90" w:type="dxa"/>
              <w:bottom w:w="60" w:type="dxa"/>
              <w:end w:w="90" w:type="dxa"/>
            </w:tcMar>
          </w:tcPr>
          <w:p>
            <w:pPr>
              <w:spacing w:after="0" w:line="276" w:lineRule="auto"/>
            </w:pPr>
            <w:r>
              <w:t>文件组成</w:t>
            </w:r>
          </w:p>
        </w:tc>
        <w:tc>
          <w:tcPr>
            <w:tcW w:type="dxa" w:w="5953"/>
            <w:vAlign w:val="center"/>
            <w:tcMar>
              <w:top w:w="60" w:type="dxa"/>
              <w:start w:w="90" w:type="dxa"/>
              <w:bottom w:w="60" w:type="dxa"/>
              <w:end w:w="90" w:type="dxa"/>
            </w:tcMar>
          </w:tcPr>
          <w:p>
            <w:pPr>
              <w:spacing w:after="0" w:line="276" w:lineRule="auto"/>
            </w:pPr>
            <w:r>
              <w:t>填写说明、重要条款提示、主合同、附件一订购单、附件二开通核验单、附件三 SLA、附件四数据处理附表、附件五退出清单、签署页</w:t>
            </w:r>
          </w:p>
        </w:tc>
      </w:tr>
      <w:tr>
        <w:trPr>
          <w:cantSplit/>
        </w:trPr>
        <w:tc>
          <w:tcPr>
            <w:tcW w:type="dxa" w:w="2381"/>
            <w:vAlign w:val="center"/>
            <w:tcMar>
              <w:top w:w="60" w:type="dxa"/>
              <w:start w:w="90" w:type="dxa"/>
              <w:bottom w:w="60" w:type="dxa"/>
              <w:end w:w="90" w:type="dxa"/>
            </w:tcMar>
          </w:tcPr>
          <w:p>
            <w:pPr>
              <w:spacing w:after="0" w:line="276" w:lineRule="auto"/>
            </w:pPr>
            <w:r>
              <w:t>配套文件</w:t>
            </w:r>
          </w:p>
        </w:tc>
        <w:tc>
          <w:tcPr>
            <w:tcW w:type="dxa" w:w="5953"/>
            <w:vAlign w:val="center"/>
            <w:tcMar>
              <w:top w:w="60" w:type="dxa"/>
              <w:start w:w="90" w:type="dxa"/>
              <w:bottom w:w="60" w:type="dxa"/>
              <w:end w:w="90" w:type="dxa"/>
            </w:tcMar>
          </w:tcPr>
          <w:p>
            <w:pPr>
              <w:spacing w:after="0" w:line="276" w:lineRule="auto"/>
            </w:pPr>
            <w:r>
              <w:t>template-family-v1.1.md、clause-playbook-v1.1.md、approval-register-v1.1.xlsx、signing-performance-sop-v1.1.md</w:t>
            </w:r>
          </w:p>
        </w:tc>
      </w:tr>
    </w:tbl>
    <w:p>
      <w:pPr>
        <w:spacing w:after="0" w:before="0" w:line="40" w:lineRule="exact"/>
      </w:pPr>
      <w:r>
        <w:rPr>
          <w:sz w:val="4"/>
        </w:rPr>
      </w:r>
    </w:p>
    <w:p>
      <w:pPr>
        <w:keepNext w:val="0"/>
        <w:spacing w:before="0" w:after="0" w:line="40" w:lineRule="exact"/>
      </w:pPr>
      <w:r>
        <w:rPr>
          <w:sz w:val="4"/>
        </w:rPr>
      </w:r>
    </w:p>
    <w:tbl>
      <w:tblPr>
        <w:tblW w:type="auto" w:w="0"/>
        <w:jc w:val="center"/>
        <w:tblLook w:firstColumn="1" w:firstRow="1" w:lastColumn="0" w:lastRow="0" w:noHBand="0" w:noVBand="1" w:val="04A0"/>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Grid>
        <w:gridCol w:w="9412"/>
      </w:tblGrid>
      <w:tr>
        <w:tc>
          <w:tcPr>
            <w:tcW w:type="dxa" w:w="9412"/>
            <w:tcMar>
              <w:top w:w="90" w:type="dxa"/>
              <w:start w:w="140" w:type="dxa"/>
              <w:bottom w:w="90" w:type="dxa"/>
              <w:end w:w="140" w:type="dxa"/>
            </w:tcMar>
            <w:shd w:fill="FCE4D6"/>
          </w:tcPr>
          <w:p>
            <w:pPr>
              <w:spacing w:after="40"/>
            </w:pPr>
            <w:r>
              <w:t>使用前必读</w:t>
            </w:r>
          </w:p>
          <w:p>
            <w:pPr>
              <w:spacing w:after="20" w:line="300" w:lineRule="auto"/>
            </w:pPr>
            <w:r>
              <w:t>本文件是模拟模板，不构成法律意见，也不代表任何真实公司的制度。</w:t>
            </w:r>
          </w:p>
          <w:p>
            <w:pPr>
              <w:spacing w:after="20" w:line="300" w:lineRule="auto"/>
            </w:pPr>
            <w:r>
              <w:t>默认适用于境内部署、境内服务团队、普通企业应用。跨境访问、敏感个人信息、重要数据、复杂开发或私有化交付，进入专项判断，不直接使用本模板。</w:t>
            </w:r>
          </w:p>
          <w:p>
            <w:pPr>
              <w:spacing w:after="20" w:line="300" w:lineRule="auto"/>
            </w:pPr>
            <w:r>
              <w:t>SaaS 交易即使金额不高，也因已纳入限定范围和必要专项核验而进入 R2；这不等于自动批准。</w:t>
            </w:r>
          </w:p>
          <w:p>
            <w:pPr>
              <w:spacing w:after="20" w:line="300" w:lineRule="auto"/>
            </w:pPr>
            <w:r>
              <w:t>本模板与 M03 软件许可模块分工：M01 提供采购方合同流程和模板；M03 是软件交易专项参考，不能直接把供应方条款倒置使用。</w:t>
            </w:r>
          </w:p>
        </w:tc>
      </w:tr>
    </w:tbl>
    <w:p>
      <w:pPr>
        <w:spacing w:after="0" w:before="0" w:line="40" w:lineRule="exact"/>
      </w:pPr>
      <w:r>
        <w:rPr>
          <w:sz w:val="4"/>
        </w:rPr>
      </w:r>
    </w:p>
    <w:p>
      <w:pPr>
        <w:keepNext w:val="0"/>
        <w:spacing w:before="0" w:after="0" w:line="40" w:lineRule="exact"/>
      </w:pPr>
      <w:r>
        <w:rPr>
          <w:sz w:val="4"/>
        </w:rPr>
      </w:r>
    </w:p>
    <w:p>
      <w:pPr>
        <w:keepNext w:val="0"/>
        <w:spacing w:before="0" w:after="80" w:line="324" w:lineRule="auto"/>
        <w:jc w:val="center"/>
      </w:pPr>
      <w:r>
        <w:t>版本 v1.1  ·  2026-10-30</w:t>
      </w:r>
    </w:p>
    <w:p>
      <w:pPr>
        <w:pStyle w:val="Heading1"/>
        <w:pageBreakBefore/>
      </w:pPr>
      <w:r>
        <w:t>填写说明（签署时移除本说明和封面）</w:t>
      </w:r>
    </w:p>
    <w:p>
      <w:pPr>
        <w:keepNext w:val="0"/>
        <w:spacing w:before="0" w:after="60" w:line="300" w:lineRule="auto"/>
      </w:pPr>
      <w:r>
        <w:t>本说明是模板的使用手册，不是合同正文。正式签署时，应移除封面和本说明，保留“重要条款提示”、主合同、附件一至五和签署页。</w:t>
      </w:r>
    </w:p>
    <w:p>
      <w:pPr>
        <w:pStyle w:val="Heading2"/>
      </w:pPr>
      <w:r>
        <w:t>一、适用边界与分工</w:t>
      </w:r>
    </w:p>
    <w:p>
      <w:pPr>
        <w:keepNext w:val="0"/>
        <w:spacing w:before="0" w:after="60" w:line="300" w:lineRule="auto"/>
      </w:pPr>
      <w:r>
        <w:t>适用于：我方作为采购方，采购境内多租户部署的 SaaS 订阅服务，服务商为境内企业，服务团队和数据默认位于境内，用于普通企业应用（协同、流程、项目管理、通用办公等），不涉及敏感个人信息、重要数据、跨境传输或复杂定制开发。</w:t>
      </w:r>
    </w:p>
    <w:p>
      <w:pPr>
        <w:keepNext w:val="0"/>
        <w:spacing w:before="0" w:after="60" w:line="300" w:lineRule="auto"/>
      </w:pPr>
      <w:r>
        <w:t>不直接适用于：跨境访问或境外部署、敏感个人信息、重要数据、关键信息基础设施、复杂开发/私有化交付、源代码托管、软硬一体、涉及大量个人信息委托处理或需要安全评估/标准合同/认证的情形。出现上述情形，应暂停并转数据合规、软件交易或相应专项。</w:t>
      </w:r>
    </w:p>
    <w:p>
      <w:pPr>
        <w:keepNext w:val="0"/>
        <w:spacing w:before="0" w:after="60" w:line="300" w:lineRule="auto"/>
      </w:pPr>
      <w:r>
        <w:t>与 M03 的分工：M01 从采购方角度提供合同流程、审批、SLA、数据处理和退出工具；M03 提供软件许可与交付形态的专项参考。不得把 M03 中的供应方条款直接倒置为采购方条款，也不得以本模板替代处理合法性判断和必要的影响评估。</w:t>
      </w:r>
    </w:p>
    <w:p>
      <w:pPr>
        <w:pStyle w:val="Heading2"/>
      </w:pPr>
      <w:r>
        <w:t>二、文件组成与优先顺序</w:t>
      </w:r>
    </w:p>
    <w:p>
      <w:pPr>
        <w:keepNext w:val="0"/>
        <w:spacing w:before="0" w:after="60" w:line="300" w:lineRule="auto"/>
      </w:pPr>
      <w:r>
        <w:t>文件不一致时，按“最后签署的变更单/补充协议 &gt; 主合同 &gt; 订购单 &gt; 数据处理附表 &gt; SLA &gt; 开通核验单 &gt; 其他附件”的顺序解释。涉及个人信息保护义务的，数据处理附表优先于与之冲突的主合同条款；但不得以合同约定降低法律强制性要求。</w:t>
      </w:r>
    </w:p>
    <w:p>
      <w:pPr>
        <w:pStyle w:val="Heading2"/>
      </w:pPr>
      <w:r>
        <w:t>三、三种操作必须分开</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2353"/>
        <w:gridCol w:w="2353"/>
        <w:gridCol w:w="2353"/>
        <w:gridCol w:w="2353"/>
      </w:tblGrid>
      <w:tr>
        <w:trPr>
          <w:tblHeader w:val="true"/>
        </w:trPr>
        <w:tc>
          <w:tcPr>
            <w:tcW w:type="dxa" w:w="1587"/>
            <w:vAlign w:val="center"/>
            <w:tcMar>
              <w:top w:w="60" w:type="dxa"/>
              <w:start w:w="90" w:type="dxa"/>
              <w:bottom w:w="60" w:type="dxa"/>
              <w:end w:w="90" w:type="dxa"/>
            </w:tcMar>
            <w:shd w:fill="1F4E79"/>
          </w:tcPr>
          <w:p>
            <w:pPr>
              <w:spacing w:after="0"/>
              <w:jc w:val="center"/>
            </w:pPr>
            <w:r>
              <w:t>操作</w:t>
            </w:r>
          </w:p>
        </w:tc>
        <w:tc>
          <w:tcPr>
            <w:tcW w:type="dxa" w:w="2948"/>
            <w:vAlign w:val="center"/>
            <w:tcMar>
              <w:top w:w="60" w:type="dxa"/>
              <w:start w:w="90" w:type="dxa"/>
              <w:bottom w:w="60" w:type="dxa"/>
              <w:end w:w="90" w:type="dxa"/>
            </w:tcMar>
            <w:shd w:fill="1F4E79"/>
          </w:tcPr>
          <w:p>
            <w:pPr>
              <w:spacing w:after="0"/>
              <w:jc w:val="center"/>
            </w:pPr>
            <w:r>
              <w:t>允许做什么</w:t>
            </w:r>
          </w:p>
        </w:tc>
        <w:tc>
          <w:tcPr>
            <w:tcW w:type="dxa" w:w="2608"/>
            <w:vAlign w:val="center"/>
            <w:tcMar>
              <w:top w:w="60" w:type="dxa"/>
              <w:start w:w="90" w:type="dxa"/>
              <w:bottom w:w="60" w:type="dxa"/>
              <w:end w:w="90" w:type="dxa"/>
            </w:tcMar>
            <w:shd w:fill="1F4E79"/>
          </w:tcPr>
          <w:p>
            <w:pPr>
              <w:spacing w:after="0"/>
              <w:jc w:val="center"/>
            </w:pPr>
            <w:r>
              <w:t>不能做什么</w:t>
            </w:r>
          </w:p>
        </w:tc>
        <w:tc>
          <w:tcPr>
            <w:tcW w:type="dxa" w:w="2154"/>
            <w:vAlign w:val="center"/>
            <w:tcMar>
              <w:top w:w="60" w:type="dxa"/>
              <w:start w:w="90" w:type="dxa"/>
              <w:bottom w:w="60" w:type="dxa"/>
              <w:end w:w="90" w:type="dxa"/>
            </w:tcMar>
            <w:shd w:fill="1F4E79"/>
          </w:tcPr>
          <w:p>
            <w:pPr>
              <w:spacing w:after="0"/>
              <w:jc w:val="center"/>
            </w:pPr>
            <w:r>
              <w:t>记录</w:t>
            </w:r>
          </w:p>
        </w:tc>
      </w:tr>
      <w:tr>
        <w:trPr>
          <w:cantSplit/>
        </w:trPr>
        <w:tc>
          <w:tcPr>
            <w:tcW w:type="dxa" w:w="1587"/>
            <w:vAlign w:val="center"/>
            <w:tcMar>
              <w:top w:w="60" w:type="dxa"/>
              <w:start w:w="90" w:type="dxa"/>
              <w:bottom w:w="60" w:type="dxa"/>
              <w:end w:w="90" w:type="dxa"/>
            </w:tcMar>
          </w:tcPr>
          <w:p>
            <w:pPr>
              <w:spacing w:after="0" w:line="276" w:lineRule="auto"/>
            </w:pPr>
            <w:r>
              <w:t>A 填写变量</w:t>
            </w:r>
          </w:p>
        </w:tc>
        <w:tc>
          <w:tcPr>
            <w:tcW w:type="dxa" w:w="2948"/>
            <w:vAlign w:val="center"/>
            <w:tcMar>
              <w:top w:w="60" w:type="dxa"/>
              <w:start w:w="90" w:type="dxa"/>
              <w:bottom w:w="60" w:type="dxa"/>
              <w:end w:w="90" w:type="dxa"/>
            </w:tcMar>
          </w:tcPr>
          <w:p>
            <w:pPr>
              <w:spacing w:after="0" w:line="276" w:lineRule="auto"/>
            </w:pPr>
            <w:r>
              <w:t>填写主体、账号数、单价、起止日、通知地址等预留字段</w:t>
            </w:r>
          </w:p>
        </w:tc>
        <w:tc>
          <w:tcPr>
            <w:tcW w:type="dxa" w:w="2608"/>
            <w:vAlign w:val="center"/>
            <w:tcMar>
              <w:top w:w="60" w:type="dxa"/>
              <w:start w:w="90" w:type="dxa"/>
              <w:bottom w:w="60" w:type="dxa"/>
              <w:end w:w="90" w:type="dxa"/>
            </w:tcMar>
          </w:tcPr>
          <w:p>
            <w:pPr>
              <w:spacing w:after="0" w:line="276" w:lineRule="auto"/>
            </w:pPr>
            <w:r>
              <w:t>不改条款文字，不新增义务</w:t>
            </w:r>
          </w:p>
        </w:tc>
        <w:tc>
          <w:tcPr>
            <w:tcW w:type="dxa" w:w="2154"/>
            <w:vAlign w:val="center"/>
            <w:tcMar>
              <w:top w:w="60" w:type="dxa"/>
              <w:start w:w="90" w:type="dxa"/>
              <w:bottom w:w="60" w:type="dxa"/>
              <w:end w:w="90" w:type="dxa"/>
            </w:tcMar>
          </w:tcPr>
          <w:p>
            <w:pPr>
              <w:spacing w:after="0" w:line="276" w:lineRule="auto"/>
            </w:pPr>
            <w:r>
              <w:t>台账记录模板版本和填写值</w:t>
            </w:r>
          </w:p>
        </w:tc>
      </w:tr>
      <w:tr>
        <w:trPr>
          <w:cantSplit/>
        </w:trPr>
        <w:tc>
          <w:tcPr>
            <w:tcW w:type="dxa" w:w="1587"/>
            <w:vAlign w:val="center"/>
            <w:tcMar>
              <w:top w:w="60" w:type="dxa"/>
              <w:start w:w="90" w:type="dxa"/>
              <w:bottom w:w="60" w:type="dxa"/>
              <w:end w:w="90" w:type="dxa"/>
            </w:tcMar>
          </w:tcPr>
          <w:p>
            <w:pPr>
              <w:spacing w:after="0" w:line="276" w:lineRule="auto"/>
            </w:pPr>
            <w:r>
              <w:t>B 采用备选条款</w:t>
            </w:r>
          </w:p>
        </w:tc>
        <w:tc>
          <w:tcPr>
            <w:tcW w:type="dxa" w:w="2948"/>
            <w:vAlign w:val="center"/>
            <w:tcMar>
              <w:top w:w="60" w:type="dxa"/>
              <w:start w:w="90" w:type="dxa"/>
              <w:bottom w:w="60" w:type="dxa"/>
              <w:end w:w="90" w:type="dxa"/>
            </w:tcMar>
          </w:tcPr>
          <w:p>
            <w:pPr>
              <w:spacing w:after="0" w:line="276" w:lineRule="auto"/>
            </w:pPr>
            <w:r>
              <w:t>从条款库选择完整备选文字并满足接受条件</w:t>
            </w:r>
          </w:p>
        </w:tc>
        <w:tc>
          <w:tcPr>
            <w:tcW w:type="dxa" w:w="2608"/>
            <w:vAlign w:val="center"/>
            <w:tcMar>
              <w:top w:w="60" w:type="dxa"/>
              <w:start w:w="90" w:type="dxa"/>
              <w:bottom w:w="60" w:type="dxa"/>
              <w:end w:w="90" w:type="dxa"/>
            </w:tcMar>
          </w:tcPr>
          <w:p>
            <w:pPr>
              <w:spacing w:after="0" w:line="276" w:lineRule="auto"/>
            </w:pPr>
            <w:r>
              <w:t>不把备选文字与默认文字拼接</w:t>
            </w:r>
          </w:p>
        </w:tc>
        <w:tc>
          <w:tcPr>
            <w:tcW w:type="dxa" w:w="2154"/>
            <w:vAlign w:val="center"/>
            <w:tcMar>
              <w:top w:w="60" w:type="dxa"/>
              <w:start w:w="90" w:type="dxa"/>
              <w:bottom w:w="60" w:type="dxa"/>
              <w:end w:w="90" w:type="dxa"/>
            </w:tcMar>
          </w:tcPr>
          <w:p>
            <w:pPr>
              <w:spacing w:after="0" w:line="276" w:lineRule="auto"/>
            </w:pPr>
            <w:r>
              <w:t>偏离明细登记；至少 R2 法务审查</w:t>
            </w:r>
          </w:p>
        </w:tc>
      </w:tr>
      <w:tr>
        <w:trPr>
          <w:cantSplit/>
        </w:trPr>
        <w:tc>
          <w:tcPr>
            <w:tcW w:type="dxa" w:w="1587"/>
            <w:vAlign w:val="center"/>
            <w:tcMar>
              <w:top w:w="60" w:type="dxa"/>
              <w:start w:w="90" w:type="dxa"/>
              <w:bottom w:w="60" w:type="dxa"/>
              <w:end w:w="90" w:type="dxa"/>
            </w:tcMar>
          </w:tcPr>
          <w:p>
            <w:pPr>
              <w:spacing w:after="0" w:line="276" w:lineRule="auto"/>
            </w:pPr>
            <w:r>
              <w:t>C 实质偏离</w:t>
            </w:r>
          </w:p>
        </w:tc>
        <w:tc>
          <w:tcPr>
            <w:tcW w:type="dxa" w:w="2948"/>
            <w:vAlign w:val="center"/>
            <w:tcMar>
              <w:top w:w="60" w:type="dxa"/>
              <w:start w:w="90" w:type="dxa"/>
              <w:bottom w:w="60" w:type="dxa"/>
              <w:end w:w="90" w:type="dxa"/>
            </w:tcMar>
          </w:tcPr>
          <w:p>
            <w:pPr>
              <w:spacing w:after="0" w:line="276" w:lineRule="auto"/>
            </w:pPr>
            <w:r>
              <w:t>新增、删除、改写条款，改变责任、SLA、数据、退出等安排</w:t>
            </w:r>
          </w:p>
        </w:tc>
        <w:tc>
          <w:tcPr>
            <w:tcW w:type="dxa" w:w="2608"/>
            <w:vAlign w:val="center"/>
            <w:tcMar>
              <w:top w:w="60" w:type="dxa"/>
              <w:start w:w="90" w:type="dxa"/>
              <w:bottom w:w="60" w:type="dxa"/>
              <w:end w:w="90" w:type="dxa"/>
            </w:tcMar>
          </w:tcPr>
          <w:p>
            <w:pPr>
              <w:spacing w:after="0" w:line="276" w:lineRule="auto"/>
            </w:pPr>
            <w:r>
              <w:t>不自行定稿，不伪装成“填空”</w:t>
            </w:r>
          </w:p>
        </w:tc>
        <w:tc>
          <w:tcPr>
            <w:tcW w:type="dxa" w:w="2154"/>
            <w:vAlign w:val="center"/>
            <w:tcMar>
              <w:top w:w="60" w:type="dxa"/>
              <w:start w:w="90" w:type="dxa"/>
              <w:bottom w:w="60" w:type="dxa"/>
              <w:end w:w="90" w:type="dxa"/>
            </w:tcMar>
          </w:tcPr>
          <w:p>
            <w:pPr>
              <w:spacing w:after="0" w:line="276" w:lineRule="auto"/>
            </w:pPr>
            <w:r>
              <w:t>偏离明细登记基准文字、最终文字、影响和补偿</w:t>
            </w:r>
          </w:p>
        </w:tc>
      </w:tr>
    </w:tbl>
    <w:p>
      <w:pPr>
        <w:spacing w:after="60" w:line="300" w:lineRule="auto"/>
      </w:pPr>
      <w:r/>
    </w:p>
    <w:p>
      <w:pPr>
        <w:pStyle w:val="Heading2"/>
      </w:pPr>
      <w:r>
        <w:t>四、必填字段</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1928"/>
            <w:vAlign w:val="center"/>
            <w:tcMar>
              <w:top w:w="60" w:type="dxa"/>
              <w:start w:w="90" w:type="dxa"/>
              <w:bottom w:w="60" w:type="dxa"/>
              <w:end w:w="90" w:type="dxa"/>
            </w:tcMar>
            <w:shd w:fill="1F4E79"/>
          </w:tcPr>
          <w:p>
            <w:pPr>
              <w:spacing w:after="0"/>
              <w:jc w:val="center"/>
            </w:pPr>
            <w:r>
              <w:t>字段</w:t>
            </w:r>
          </w:p>
        </w:tc>
        <w:tc>
          <w:tcPr>
            <w:tcW w:type="dxa" w:w="2381"/>
            <w:vAlign w:val="center"/>
            <w:tcMar>
              <w:top w:w="60" w:type="dxa"/>
              <w:start w:w="90" w:type="dxa"/>
              <w:bottom w:w="60" w:type="dxa"/>
              <w:end w:w="90" w:type="dxa"/>
            </w:tcMar>
            <w:shd w:fill="1F4E79"/>
          </w:tcPr>
          <w:p>
            <w:pPr>
              <w:spacing w:after="0"/>
              <w:jc w:val="center"/>
            </w:pPr>
            <w:r>
              <w:t>填写位置</w:t>
            </w:r>
          </w:p>
        </w:tc>
        <w:tc>
          <w:tcPr>
            <w:tcW w:type="dxa" w:w="4989"/>
            <w:vAlign w:val="center"/>
            <w:tcMar>
              <w:top w:w="60" w:type="dxa"/>
              <w:start w:w="90" w:type="dxa"/>
              <w:bottom w:w="60" w:type="dxa"/>
              <w:end w:w="90" w:type="dxa"/>
            </w:tcMar>
            <w:shd w:fill="1F4E79"/>
          </w:tcPr>
          <w:p>
            <w:pPr>
              <w:spacing w:after="0"/>
              <w:jc w:val="center"/>
            </w:pPr>
            <w:r>
              <w:t>要求/常见错误</w:t>
            </w:r>
          </w:p>
        </w:tc>
      </w:tr>
      <w:tr>
        <w:trPr>
          <w:cantSplit/>
        </w:trPr>
        <w:tc>
          <w:tcPr>
            <w:tcW w:type="dxa" w:w="1928"/>
            <w:vAlign w:val="center"/>
            <w:tcMar>
              <w:top w:w="60" w:type="dxa"/>
              <w:start w:w="90" w:type="dxa"/>
              <w:bottom w:w="60" w:type="dxa"/>
              <w:end w:w="90" w:type="dxa"/>
            </w:tcMar>
          </w:tcPr>
          <w:p>
            <w:pPr>
              <w:spacing w:after="0" w:line="276" w:lineRule="auto"/>
            </w:pPr>
            <w:r>
              <w:t>合同编号、项目编号</w:t>
            </w:r>
          </w:p>
        </w:tc>
        <w:tc>
          <w:tcPr>
            <w:tcW w:type="dxa" w:w="2381"/>
            <w:vAlign w:val="center"/>
            <w:tcMar>
              <w:top w:w="60" w:type="dxa"/>
              <w:start w:w="90" w:type="dxa"/>
              <w:bottom w:w="60" w:type="dxa"/>
              <w:end w:w="90" w:type="dxa"/>
            </w:tcMar>
          </w:tcPr>
          <w:p>
            <w:pPr>
              <w:spacing w:after="0" w:line="276" w:lineRule="auto"/>
            </w:pPr>
            <w:r>
              <w:t>首部、订购单、台账</w:t>
            </w:r>
          </w:p>
        </w:tc>
        <w:tc>
          <w:tcPr>
            <w:tcW w:type="dxa" w:w="4989"/>
            <w:vAlign w:val="center"/>
            <w:tcMar>
              <w:top w:w="60" w:type="dxa"/>
              <w:start w:w="90" w:type="dxa"/>
              <w:bottom w:w="60" w:type="dxa"/>
              <w:end w:w="90" w:type="dxa"/>
            </w:tcMar>
          </w:tcPr>
          <w:p>
            <w:pPr>
              <w:spacing w:after="0" w:line="276" w:lineRule="auto"/>
            </w:pPr>
            <w:r>
              <w:t>唯一；订阅续约作为新承诺计入累计</w:t>
            </w:r>
          </w:p>
        </w:tc>
      </w:tr>
      <w:tr>
        <w:trPr>
          <w:cantSplit/>
        </w:trPr>
        <w:tc>
          <w:tcPr>
            <w:tcW w:type="dxa" w:w="1928"/>
            <w:vAlign w:val="center"/>
            <w:tcMar>
              <w:top w:w="60" w:type="dxa"/>
              <w:start w:w="90" w:type="dxa"/>
              <w:bottom w:w="60" w:type="dxa"/>
              <w:end w:w="90" w:type="dxa"/>
            </w:tcMar>
          </w:tcPr>
          <w:p>
            <w:pPr>
              <w:spacing w:after="0" w:line="276" w:lineRule="auto"/>
            </w:pPr>
            <w:r>
              <w:t>双方主体</w:t>
            </w:r>
          </w:p>
        </w:tc>
        <w:tc>
          <w:tcPr>
            <w:tcW w:type="dxa" w:w="2381"/>
            <w:vAlign w:val="center"/>
            <w:tcMar>
              <w:top w:w="60" w:type="dxa"/>
              <w:start w:w="90" w:type="dxa"/>
              <w:bottom w:w="60" w:type="dxa"/>
              <w:end w:w="90" w:type="dxa"/>
            </w:tcMar>
          </w:tcPr>
          <w:p>
            <w:pPr>
              <w:spacing w:after="0" w:line="276" w:lineRule="auto"/>
            </w:pPr>
            <w:r>
              <w:t>首部、签署页</w:t>
            </w:r>
          </w:p>
        </w:tc>
        <w:tc>
          <w:tcPr>
            <w:tcW w:type="dxa" w:w="4989"/>
            <w:vAlign w:val="center"/>
            <w:tcMar>
              <w:top w:w="60" w:type="dxa"/>
              <w:start w:w="90" w:type="dxa"/>
              <w:bottom w:w="60" w:type="dxa"/>
              <w:end w:w="90" w:type="dxa"/>
            </w:tcMar>
          </w:tcPr>
          <w:p>
            <w:pPr>
              <w:spacing w:after="0" w:line="276" w:lineRule="auto"/>
            </w:pPr>
            <w:r>
              <w:t>与营业执照、收款主体、数据处理者一致</w:t>
            </w:r>
          </w:p>
        </w:tc>
      </w:tr>
      <w:tr>
        <w:trPr>
          <w:cantSplit/>
        </w:trPr>
        <w:tc>
          <w:tcPr>
            <w:tcW w:type="dxa" w:w="1928"/>
            <w:vAlign w:val="center"/>
            <w:tcMar>
              <w:top w:w="60" w:type="dxa"/>
              <w:start w:w="90" w:type="dxa"/>
              <w:bottom w:w="60" w:type="dxa"/>
              <w:end w:w="90" w:type="dxa"/>
            </w:tcMar>
          </w:tcPr>
          <w:p>
            <w:pPr>
              <w:spacing w:after="0" w:line="276" w:lineRule="auto"/>
            </w:pPr>
            <w:r>
              <w:t>订阅起止</w:t>
            </w:r>
          </w:p>
        </w:tc>
        <w:tc>
          <w:tcPr>
            <w:tcW w:type="dxa" w:w="2381"/>
            <w:vAlign w:val="center"/>
            <w:tcMar>
              <w:top w:w="60" w:type="dxa"/>
              <w:start w:w="90" w:type="dxa"/>
              <w:bottom w:w="60" w:type="dxa"/>
              <w:end w:w="90" w:type="dxa"/>
            </w:tcMar>
          </w:tcPr>
          <w:p>
            <w:pPr>
              <w:spacing w:after="0" w:line="276" w:lineRule="auto"/>
            </w:pPr>
            <w:r>
              <w:t>订购单</w:t>
            </w:r>
          </w:p>
        </w:tc>
        <w:tc>
          <w:tcPr>
            <w:tcW w:type="dxa" w:w="4989"/>
            <w:vAlign w:val="center"/>
            <w:tcMar>
              <w:top w:w="60" w:type="dxa"/>
              <w:start w:w="90" w:type="dxa"/>
              <w:bottom w:w="60" w:type="dxa"/>
              <w:end w:w="90" w:type="dxa"/>
            </w:tcMar>
          </w:tcPr>
          <w:p>
            <w:pPr>
              <w:spacing w:after="0" w:line="276" w:lineRule="auto"/>
            </w:pPr>
            <w:r>
              <w:t>具体日期；试用期、免费期单独列明</w:t>
            </w:r>
          </w:p>
        </w:tc>
      </w:tr>
      <w:tr>
        <w:trPr>
          <w:cantSplit/>
        </w:trPr>
        <w:tc>
          <w:tcPr>
            <w:tcW w:type="dxa" w:w="1928"/>
            <w:vAlign w:val="center"/>
            <w:tcMar>
              <w:top w:w="60" w:type="dxa"/>
              <w:start w:w="90" w:type="dxa"/>
              <w:bottom w:w="60" w:type="dxa"/>
              <w:end w:w="90" w:type="dxa"/>
            </w:tcMar>
          </w:tcPr>
          <w:p>
            <w:pPr>
              <w:spacing w:after="0" w:line="276" w:lineRule="auto"/>
            </w:pPr>
            <w:r>
              <w:t>账号数/计费单位</w:t>
            </w:r>
          </w:p>
        </w:tc>
        <w:tc>
          <w:tcPr>
            <w:tcW w:type="dxa" w:w="2381"/>
            <w:vAlign w:val="center"/>
            <w:tcMar>
              <w:top w:w="60" w:type="dxa"/>
              <w:start w:w="90" w:type="dxa"/>
              <w:bottom w:w="60" w:type="dxa"/>
              <w:end w:w="90" w:type="dxa"/>
            </w:tcMar>
          </w:tcPr>
          <w:p>
            <w:pPr>
              <w:spacing w:after="0" w:line="276" w:lineRule="auto"/>
            </w:pPr>
            <w:r>
              <w:t>订购单</w:t>
            </w:r>
          </w:p>
        </w:tc>
        <w:tc>
          <w:tcPr>
            <w:tcW w:type="dxa" w:w="4989"/>
            <w:vAlign w:val="center"/>
            <w:tcMar>
              <w:top w:w="60" w:type="dxa"/>
              <w:start w:w="90" w:type="dxa"/>
              <w:bottom w:w="60" w:type="dxa"/>
              <w:end w:w="90" w:type="dxa"/>
            </w:tcMar>
          </w:tcPr>
          <w:p>
            <w:pPr>
              <w:spacing w:after="0" w:line="276" w:lineRule="auto"/>
            </w:pPr>
            <w:r>
              <w:t>账号、席位、API 调用、存储等计费单位写清；超额如何处理</w:t>
            </w:r>
          </w:p>
        </w:tc>
      </w:tr>
      <w:tr>
        <w:trPr>
          <w:cantSplit/>
        </w:trPr>
        <w:tc>
          <w:tcPr>
            <w:tcW w:type="dxa" w:w="1928"/>
            <w:vAlign w:val="center"/>
            <w:tcMar>
              <w:top w:w="60" w:type="dxa"/>
              <w:start w:w="90" w:type="dxa"/>
              <w:bottom w:w="60" w:type="dxa"/>
              <w:end w:w="90" w:type="dxa"/>
            </w:tcMar>
          </w:tcPr>
          <w:p>
            <w:pPr>
              <w:spacing w:after="0" w:line="276" w:lineRule="auto"/>
            </w:pPr>
            <w:r>
              <w:t>费用上限</w:t>
            </w:r>
          </w:p>
        </w:tc>
        <w:tc>
          <w:tcPr>
            <w:tcW w:type="dxa" w:w="2381"/>
            <w:vAlign w:val="center"/>
            <w:tcMar>
              <w:top w:w="60" w:type="dxa"/>
              <w:start w:w="90" w:type="dxa"/>
              <w:bottom w:w="60" w:type="dxa"/>
              <w:end w:w="90" w:type="dxa"/>
            </w:tcMar>
          </w:tcPr>
          <w:p>
            <w:pPr>
              <w:spacing w:after="0" w:line="276" w:lineRule="auto"/>
            </w:pPr>
            <w:r>
              <w:t>订购单、第 3 条</w:t>
            </w:r>
          </w:p>
        </w:tc>
        <w:tc>
          <w:tcPr>
            <w:tcW w:type="dxa" w:w="4989"/>
            <w:vAlign w:val="center"/>
            <w:tcMar>
              <w:top w:w="60" w:type="dxa"/>
              <w:start w:w="90" w:type="dxa"/>
              <w:bottom w:w="60" w:type="dxa"/>
              <w:end w:w="90" w:type="dxa"/>
            </w:tcMar>
          </w:tcPr>
          <w:p>
            <w:pPr>
              <w:spacing w:after="0" w:line="276" w:lineRule="auto"/>
            </w:pPr>
            <w:r>
              <w:t>年度总费用、税费、超额、调价上限；开放式费用转人工判断</w:t>
            </w:r>
          </w:p>
        </w:tc>
      </w:tr>
      <w:tr>
        <w:trPr>
          <w:cantSplit/>
        </w:trPr>
        <w:tc>
          <w:tcPr>
            <w:tcW w:type="dxa" w:w="1928"/>
            <w:vAlign w:val="center"/>
            <w:tcMar>
              <w:top w:w="60" w:type="dxa"/>
              <w:start w:w="90" w:type="dxa"/>
              <w:bottom w:w="60" w:type="dxa"/>
              <w:end w:w="90" w:type="dxa"/>
            </w:tcMar>
          </w:tcPr>
          <w:p>
            <w:pPr>
              <w:spacing w:after="0" w:line="276" w:lineRule="auto"/>
            </w:pPr>
            <w:r>
              <w:t>付款计划</w:t>
            </w:r>
          </w:p>
        </w:tc>
        <w:tc>
          <w:tcPr>
            <w:tcW w:type="dxa" w:w="2381"/>
            <w:vAlign w:val="center"/>
            <w:tcMar>
              <w:top w:w="60" w:type="dxa"/>
              <w:start w:w="90" w:type="dxa"/>
              <w:bottom w:w="60" w:type="dxa"/>
              <w:end w:w="90" w:type="dxa"/>
            </w:tcMar>
          </w:tcPr>
          <w:p>
            <w:pPr>
              <w:spacing w:after="0" w:line="276" w:lineRule="auto"/>
            </w:pPr>
            <w:r>
              <w:t>订购单、第 3 条</w:t>
            </w:r>
          </w:p>
        </w:tc>
        <w:tc>
          <w:tcPr>
            <w:tcW w:type="dxa" w:w="4989"/>
            <w:vAlign w:val="center"/>
            <w:tcMar>
              <w:top w:w="60" w:type="dxa"/>
              <w:start w:w="90" w:type="dxa"/>
              <w:bottom w:w="60" w:type="dxa"/>
              <w:end w:w="90" w:type="dxa"/>
            </w:tcMar>
          </w:tcPr>
          <w:p>
            <w:pPr>
              <w:spacing w:after="0" w:line="276" w:lineRule="auto"/>
            </w:pPr>
            <w:r>
              <w:t>每期金额和条件；预付款超过 30% 至少 R2，超过 50% 进入 R3</w:t>
            </w:r>
          </w:p>
        </w:tc>
      </w:tr>
      <w:tr>
        <w:trPr>
          <w:cantSplit/>
        </w:trPr>
        <w:tc>
          <w:tcPr>
            <w:tcW w:type="dxa" w:w="1928"/>
            <w:vAlign w:val="center"/>
            <w:tcMar>
              <w:top w:w="60" w:type="dxa"/>
              <w:start w:w="90" w:type="dxa"/>
              <w:bottom w:w="60" w:type="dxa"/>
              <w:end w:w="90" w:type="dxa"/>
            </w:tcMar>
          </w:tcPr>
          <w:p>
            <w:pPr>
              <w:spacing w:after="0" w:line="276" w:lineRule="auto"/>
            </w:pPr>
            <w:r>
              <w:t>续约通知期限</w:t>
            </w:r>
          </w:p>
        </w:tc>
        <w:tc>
          <w:tcPr>
            <w:tcW w:type="dxa" w:w="2381"/>
            <w:vAlign w:val="center"/>
            <w:tcMar>
              <w:top w:w="60" w:type="dxa"/>
              <w:start w:w="90" w:type="dxa"/>
              <w:bottom w:w="60" w:type="dxa"/>
              <w:end w:w="90" w:type="dxa"/>
            </w:tcMar>
          </w:tcPr>
          <w:p>
            <w:pPr>
              <w:spacing w:after="0" w:line="276" w:lineRule="auto"/>
            </w:pPr>
            <w:r>
              <w:t>订购单、第 3 条</w:t>
            </w:r>
          </w:p>
        </w:tc>
        <w:tc>
          <w:tcPr>
            <w:tcW w:type="dxa" w:w="4989"/>
            <w:vAlign w:val="center"/>
            <w:tcMar>
              <w:top w:w="60" w:type="dxa"/>
              <w:start w:w="90" w:type="dxa"/>
              <w:bottom w:w="60" w:type="dxa"/>
              <w:end w:w="90" w:type="dxa"/>
            </w:tcMar>
          </w:tcPr>
          <w:p>
            <w:pPr>
              <w:spacing w:after="0" w:line="276" w:lineRule="auto"/>
            </w:pPr>
            <w:r>
              <w:t>默认到期前 60 日；不得只提醒到期日</w:t>
            </w:r>
          </w:p>
        </w:tc>
      </w:tr>
      <w:tr>
        <w:trPr>
          <w:cantSplit/>
        </w:trPr>
        <w:tc>
          <w:tcPr>
            <w:tcW w:type="dxa" w:w="1928"/>
            <w:vAlign w:val="center"/>
            <w:tcMar>
              <w:top w:w="60" w:type="dxa"/>
              <w:start w:w="90" w:type="dxa"/>
              <w:bottom w:w="60" w:type="dxa"/>
              <w:end w:w="90" w:type="dxa"/>
            </w:tcMar>
          </w:tcPr>
          <w:p>
            <w:pPr>
              <w:spacing w:after="0" w:line="276" w:lineRule="auto"/>
            </w:pPr>
            <w:r>
              <w:t>SLA</w:t>
            </w:r>
          </w:p>
        </w:tc>
        <w:tc>
          <w:tcPr>
            <w:tcW w:type="dxa" w:w="2381"/>
            <w:vAlign w:val="center"/>
            <w:tcMar>
              <w:top w:w="60" w:type="dxa"/>
              <w:start w:w="90" w:type="dxa"/>
              <w:bottom w:w="60" w:type="dxa"/>
              <w:end w:w="90" w:type="dxa"/>
            </w:tcMar>
          </w:tcPr>
          <w:p>
            <w:pPr>
              <w:spacing w:after="0" w:line="276" w:lineRule="auto"/>
            </w:pPr>
            <w:r>
              <w:t>附件三</w:t>
            </w:r>
          </w:p>
        </w:tc>
        <w:tc>
          <w:tcPr>
            <w:tcW w:type="dxa" w:w="4989"/>
            <w:vAlign w:val="center"/>
            <w:tcMar>
              <w:top w:w="60" w:type="dxa"/>
              <w:start w:w="90" w:type="dxa"/>
              <w:bottom w:w="60" w:type="dxa"/>
              <w:end w:w="90" w:type="dxa"/>
            </w:tcMar>
          </w:tcPr>
          <w:p>
            <w:pPr>
              <w:spacing w:after="0" w:line="276" w:lineRule="auto"/>
            </w:pPr>
            <w:r>
              <w:t>可用性目标、计算方式、排除维护、响应恢复、抵扣、持续违约退出</w:t>
            </w:r>
          </w:p>
        </w:tc>
      </w:tr>
      <w:tr>
        <w:trPr>
          <w:cantSplit/>
        </w:trPr>
        <w:tc>
          <w:tcPr>
            <w:tcW w:type="dxa" w:w="1928"/>
            <w:vAlign w:val="center"/>
            <w:tcMar>
              <w:top w:w="60" w:type="dxa"/>
              <w:start w:w="90" w:type="dxa"/>
              <w:bottom w:w="60" w:type="dxa"/>
              <w:end w:w="90" w:type="dxa"/>
            </w:tcMar>
          </w:tcPr>
          <w:p>
            <w:pPr>
              <w:spacing w:after="0" w:line="276" w:lineRule="auto"/>
            </w:pPr>
            <w:r>
              <w:t>数据范围与位置</w:t>
            </w:r>
          </w:p>
        </w:tc>
        <w:tc>
          <w:tcPr>
            <w:tcW w:type="dxa" w:w="2381"/>
            <w:vAlign w:val="center"/>
            <w:tcMar>
              <w:top w:w="60" w:type="dxa"/>
              <w:start w:w="90" w:type="dxa"/>
              <w:bottom w:w="60" w:type="dxa"/>
              <w:end w:w="90" w:type="dxa"/>
            </w:tcMar>
          </w:tcPr>
          <w:p>
            <w:pPr>
              <w:spacing w:after="0" w:line="276" w:lineRule="auto"/>
            </w:pPr>
            <w:r>
              <w:t>附件四</w:t>
            </w:r>
          </w:p>
        </w:tc>
        <w:tc>
          <w:tcPr>
            <w:tcW w:type="dxa" w:w="4989"/>
            <w:vAlign w:val="center"/>
            <w:tcMar>
              <w:top w:w="60" w:type="dxa"/>
              <w:start w:w="90" w:type="dxa"/>
              <w:bottom w:w="60" w:type="dxa"/>
              <w:end w:w="90" w:type="dxa"/>
            </w:tcMar>
          </w:tcPr>
          <w:p>
            <w:pPr>
              <w:spacing w:after="0" w:line="276" w:lineRule="auto"/>
            </w:pPr>
            <w:r>
              <w:t>数据类别、主体、目的、期限、存储地、访问地、分包商</w:t>
            </w:r>
          </w:p>
        </w:tc>
      </w:tr>
      <w:tr>
        <w:trPr>
          <w:cantSplit/>
        </w:trPr>
        <w:tc>
          <w:tcPr>
            <w:tcW w:type="dxa" w:w="1928"/>
            <w:vAlign w:val="center"/>
            <w:tcMar>
              <w:top w:w="60" w:type="dxa"/>
              <w:start w:w="90" w:type="dxa"/>
              <w:bottom w:w="60" w:type="dxa"/>
              <w:end w:w="90" w:type="dxa"/>
            </w:tcMar>
          </w:tcPr>
          <w:p>
            <w:pPr>
              <w:spacing w:after="0" w:line="276" w:lineRule="auto"/>
            </w:pPr>
            <w:r>
              <w:t>导出格式/删除期限</w:t>
            </w:r>
          </w:p>
        </w:tc>
        <w:tc>
          <w:tcPr>
            <w:tcW w:type="dxa" w:w="2381"/>
            <w:vAlign w:val="center"/>
            <w:tcMar>
              <w:top w:w="60" w:type="dxa"/>
              <w:start w:w="90" w:type="dxa"/>
              <w:bottom w:w="60" w:type="dxa"/>
              <w:end w:w="90" w:type="dxa"/>
            </w:tcMar>
          </w:tcPr>
          <w:p>
            <w:pPr>
              <w:spacing w:after="0" w:line="276" w:lineRule="auto"/>
            </w:pPr>
            <w:r>
              <w:t>附件五</w:t>
            </w:r>
          </w:p>
        </w:tc>
        <w:tc>
          <w:tcPr>
            <w:tcW w:type="dxa" w:w="4989"/>
            <w:vAlign w:val="center"/>
            <w:tcMar>
              <w:top w:w="60" w:type="dxa"/>
              <w:start w:w="90" w:type="dxa"/>
              <w:bottom w:w="60" w:type="dxa"/>
              <w:end w:w="90" w:type="dxa"/>
            </w:tcMar>
          </w:tcPr>
          <w:p>
            <w:pPr>
              <w:spacing w:after="0" w:line="276" w:lineRule="auto"/>
            </w:pPr>
            <w:r>
              <w:t>CSV/JSON 等可读格式、导出窗口、过渡访问、删除和证明</w:t>
            </w:r>
          </w:p>
        </w:tc>
      </w:tr>
      <w:tr>
        <w:trPr>
          <w:cantSplit/>
        </w:trPr>
        <w:tc>
          <w:tcPr>
            <w:tcW w:type="dxa" w:w="1928"/>
            <w:vAlign w:val="center"/>
            <w:tcMar>
              <w:top w:w="60" w:type="dxa"/>
              <w:start w:w="90" w:type="dxa"/>
              <w:bottom w:w="60" w:type="dxa"/>
              <w:end w:w="90" w:type="dxa"/>
            </w:tcMar>
          </w:tcPr>
          <w:p>
            <w:pPr>
              <w:spacing w:after="0" w:line="276" w:lineRule="auto"/>
            </w:pPr>
            <w:r>
              <w:t>专项意见/批准条件</w:t>
            </w:r>
          </w:p>
        </w:tc>
        <w:tc>
          <w:tcPr>
            <w:tcW w:type="dxa" w:w="2381"/>
            <w:vAlign w:val="center"/>
            <w:tcMar>
              <w:top w:w="60" w:type="dxa"/>
              <w:start w:w="90" w:type="dxa"/>
              <w:bottom w:w="60" w:type="dxa"/>
              <w:end w:w="90" w:type="dxa"/>
            </w:tcMar>
          </w:tcPr>
          <w:p>
            <w:pPr>
              <w:spacing w:after="0" w:line="276" w:lineRule="auto"/>
            </w:pPr>
            <w:r>
              <w:t>审批记录</w:t>
            </w:r>
          </w:p>
        </w:tc>
        <w:tc>
          <w:tcPr>
            <w:tcW w:type="dxa" w:w="4989"/>
            <w:vAlign w:val="center"/>
            <w:tcMar>
              <w:top w:w="60" w:type="dxa"/>
              <w:start w:w="90" w:type="dxa"/>
              <w:bottom w:w="60" w:type="dxa"/>
              <w:end w:w="90" w:type="dxa"/>
            </w:tcMar>
          </w:tcPr>
          <w:p>
            <w:pPr>
              <w:spacing w:after="0" w:line="276" w:lineRule="auto"/>
            </w:pPr>
            <w:r>
              <w:t>数据、IT、安全、财务意见；未完成不得进入可签署状态</w:t>
            </w:r>
          </w:p>
        </w:tc>
      </w:tr>
      <w:tr>
        <w:trPr>
          <w:cantSplit/>
        </w:trPr>
        <w:tc>
          <w:tcPr>
            <w:tcW w:type="dxa" w:w="1928"/>
            <w:vAlign w:val="center"/>
            <w:tcMar>
              <w:top w:w="60" w:type="dxa"/>
              <w:start w:w="90" w:type="dxa"/>
              <w:bottom w:w="60" w:type="dxa"/>
              <w:end w:w="90" w:type="dxa"/>
            </w:tcMar>
          </w:tcPr>
          <w:p>
            <w:pPr>
              <w:spacing w:after="0" w:line="276" w:lineRule="auto"/>
            </w:pPr>
            <w:r>
              <w:t>争议解决</w:t>
            </w:r>
          </w:p>
        </w:tc>
        <w:tc>
          <w:tcPr>
            <w:tcW w:type="dxa" w:w="2381"/>
            <w:vAlign w:val="center"/>
            <w:tcMar>
              <w:top w:w="60" w:type="dxa"/>
              <w:start w:w="90" w:type="dxa"/>
              <w:bottom w:w="60" w:type="dxa"/>
              <w:end w:w="90" w:type="dxa"/>
            </w:tcMar>
          </w:tcPr>
          <w:p>
            <w:pPr>
              <w:spacing w:after="0" w:line="276" w:lineRule="auto"/>
            </w:pPr>
            <w:r>
              <w:t>第 16 条</w:t>
            </w:r>
          </w:p>
        </w:tc>
        <w:tc>
          <w:tcPr>
            <w:tcW w:type="dxa" w:w="4989"/>
            <w:vAlign w:val="center"/>
            <w:tcMar>
              <w:top w:w="60" w:type="dxa"/>
              <w:start w:w="90" w:type="dxa"/>
              <w:bottom w:w="60" w:type="dxa"/>
              <w:end w:w="90" w:type="dxa"/>
            </w:tcMar>
          </w:tcPr>
          <w:p>
            <w:pPr>
              <w:spacing w:after="0" w:line="276" w:lineRule="auto"/>
            </w:pPr>
            <w:r>
              <w:t>境内法院；核对实际联系、级别管辖和专属管辖</w:t>
            </w:r>
          </w:p>
        </w:tc>
      </w:tr>
    </w:tbl>
    <w:p>
      <w:pPr>
        <w:spacing w:after="60" w:line="300" w:lineRule="auto"/>
      </w:pPr>
      <w:r/>
    </w:p>
    <w:p>
      <w:pPr>
        <w:pStyle w:val="Heading2"/>
      </w:pPr>
      <w:r>
        <w:t>五、异常条款提示</w:t>
      </w:r>
    </w:p>
    <w:p>
      <w:pPr>
        <w:keepNext w:val="0"/>
        <w:spacing w:before="0" w:after="60" w:line="300" w:lineRule="auto"/>
      </w:pPr>
      <w:r>
        <w:t>第 3 条（费用与续约）、第 5 条（SLA）、第 7 条（数据）、第 12 条（责任）、第 13 条（暂停与解除）、第 14 条（退出）属于对双方权利义务有重大影响的条款。</w:t>
      </w:r>
    </w:p>
    <w:p>
      <w:pPr>
        <w:pStyle w:val="ListBullet"/>
        <w:spacing w:after="40" w:line="312" w:lineRule="auto"/>
      </w:pPr>
      <w:r>
        <w:t>自动续约且不提供提前通知，或续约价格无上限；</w:t>
      </w:r>
    </w:p>
    <w:p>
      <w:pPr>
        <w:pStyle w:val="ListBullet"/>
        <w:spacing w:after="40" w:line="312" w:lineRule="auto"/>
      </w:pPr>
      <w:r>
        <w:t>SLA 抵扣是唯一救济，或服务商可单方决定可用性统计口径；</w:t>
      </w:r>
    </w:p>
    <w:p>
      <w:pPr>
        <w:pStyle w:val="ListBullet"/>
        <w:spacing w:after="40" w:line="312" w:lineRule="auto"/>
      </w:pPr>
      <w:r>
        <w:t>数据可被用于模型训练、广告或与服务无关的目的，或可向境外/关联方自由转移；</w:t>
      </w:r>
    </w:p>
    <w:p>
      <w:pPr>
        <w:pStyle w:val="ListBullet"/>
        <w:spacing w:after="40" w:line="312" w:lineRule="auto"/>
      </w:pPr>
      <w:r>
        <w:t>服务商可因任何原因暂停服务，或暂停后不提供数据导出；</w:t>
      </w:r>
    </w:p>
    <w:p>
      <w:pPr>
        <w:pStyle w:val="ListBullet"/>
        <w:spacing w:after="40" w:line="312" w:lineRule="auto"/>
      </w:pPr>
      <w:r>
        <w:t>责任上限明显低于年度服务费，或排除数据泄露、知识产权、故意/重大过失责任；</w:t>
      </w:r>
    </w:p>
    <w:p>
      <w:pPr>
        <w:pStyle w:val="ListBullet"/>
        <w:spacing w:after="40" w:line="312" w:lineRule="auto"/>
      </w:pPr>
      <w:r>
        <w:t>退出时只提供截图或不可读格式，不提供导出、过渡协助和删除证明；</w:t>
      </w:r>
    </w:p>
    <w:p>
      <w:pPr>
        <w:pStyle w:val="ListBullet"/>
        <w:spacing w:after="40" w:line="312" w:lineRule="auto"/>
      </w:pPr>
      <w:r>
        <w:t>约定境外法院、境外仲裁，或与争议没有实际联系的管辖地点。</w:t>
      </w:r>
    </w:p>
    <w:p>
      <w:pPr>
        <w:keepNext w:val="0"/>
        <w:spacing w:before="0" w:after="60" w:line="300" w:lineRule="auto"/>
      </w:pPr>
      <w:r>
        <w:t>说明记录位置：审批记录的“批准条件”和偏离明细的“影响/补偿措施”。异常条款的提示方式、说明对象和对方确认情况也应记录。</w:t>
      </w:r>
    </w:p>
    <w:p>
      <w:pPr>
        <w:pStyle w:val="Heading2"/>
      </w:pPr>
      <w:r>
        <w:t>六、签署与份数</w:t>
      </w:r>
    </w:p>
    <w:p>
      <w:pPr>
        <w:keepNext w:val="0"/>
        <w:spacing w:before="0" w:after="60" w:line="300" w:lineRule="auto"/>
      </w:pPr>
      <w:r>
        <w:t>本合同一式两份，双方各执一份，具有同等效力。默认采用可靠电子签名或纸质签署；采用电子签名时，应保存可验证的原始文件、签署人身份与授权、签署日志、文件完整性和签署过程证据。时间戳、哈希、存证编号属于证据管理措施，不是所有合同一律适用的法定成立条件。</w:t>
      </w:r>
    </w:p>
    <w:p>
      <w:pPr>
        <w:spacing w:after="60" w:line="300" w:lineRule="auto"/>
      </w:pPr>
      <w:r/>
    </w:p>
    <w:p>
      <w:pPr>
        <w:pStyle w:val="Heading1"/>
      </w:pPr>
      <w:r>
        <w:t>重要条款提示（随签署文本保留）</w:t>
      </w:r>
    </w:p>
    <w:p>
      <w:pPr>
        <w:keepNext w:val="0"/>
        <w:spacing w:before="0" w:after="60" w:line="300" w:lineRule="auto"/>
      </w:pPr>
      <w:r>
        <w:t>请双方在签署前阅读以下条款。以下提示不改变正文含义；如提示与正文不一致，以正文为准。</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551"/>
            <w:vAlign w:val="center"/>
            <w:tcMar>
              <w:top w:w="60" w:type="dxa"/>
              <w:start w:w="90" w:type="dxa"/>
              <w:bottom w:w="60" w:type="dxa"/>
              <w:end w:w="90" w:type="dxa"/>
            </w:tcMar>
            <w:shd w:fill="1F4E79"/>
          </w:tcPr>
          <w:p>
            <w:pPr>
              <w:spacing w:after="0"/>
              <w:jc w:val="center"/>
            </w:pPr>
            <w:r>
              <w:t>条款</w:t>
            </w:r>
          </w:p>
        </w:tc>
        <w:tc>
          <w:tcPr>
            <w:tcW w:type="dxa" w:w="4082"/>
            <w:vAlign w:val="center"/>
            <w:tcMar>
              <w:top w:w="60" w:type="dxa"/>
              <w:start w:w="90" w:type="dxa"/>
              <w:bottom w:w="60" w:type="dxa"/>
              <w:end w:w="90" w:type="dxa"/>
            </w:tcMar>
            <w:shd w:fill="1F4E79"/>
          </w:tcPr>
          <w:p>
            <w:pPr>
              <w:spacing w:after="0"/>
              <w:jc w:val="center"/>
            </w:pPr>
            <w:r>
              <w:t>为什么重要</w:t>
            </w:r>
          </w:p>
        </w:tc>
        <w:tc>
          <w:tcPr>
            <w:tcW w:type="dxa" w:w="2721"/>
            <w:vAlign w:val="center"/>
            <w:tcMar>
              <w:top w:w="60" w:type="dxa"/>
              <w:start w:w="90" w:type="dxa"/>
              <w:bottom w:w="60" w:type="dxa"/>
              <w:end w:w="90" w:type="dxa"/>
            </w:tcMar>
            <w:shd w:fill="1F4E79"/>
          </w:tcPr>
          <w:p>
            <w:pPr>
              <w:spacing w:after="0"/>
              <w:jc w:val="center"/>
            </w:pPr>
            <w:r>
              <w:t>签署前确认</w:t>
            </w:r>
          </w:p>
        </w:tc>
      </w:tr>
      <w:tr>
        <w:trPr>
          <w:cantSplit/>
        </w:trPr>
        <w:tc>
          <w:tcPr>
            <w:tcW w:type="dxa" w:w="2551"/>
            <w:vAlign w:val="center"/>
            <w:tcMar>
              <w:top w:w="60" w:type="dxa"/>
              <w:start w:w="90" w:type="dxa"/>
              <w:bottom w:w="60" w:type="dxa"/>
              <w:end w:w="90" w:type="dxa"/>
            </w:tcMar>
          </w:tcPr>
          <w:p>
            <w:pPr>
              <w:spacing w:after="0" w:line="276" w:lineRule="auto"/>
            </w:pPr>
            <w:r>
              <w:t>第 2、3 条 订阅与费用</w:t>
            </w:r>
          </w:p>
        </w:tc>
        <w:tc>
          <w:tcPr>
            <w:tcW w:type="dxa" w:w="4082"/>
            <w:vAlign w:val="center"/>
            <w:tcMar>
              <w:top w:w="60" w:type="dxa"/>
              <w:start w:w="90" w:type="dxa"/>
              <w:bottom w:w="60" w:type="dxa"/>
              <w:end w:w="90" w:type="dxa"/>
            </w:tcMar>
          </w:tcPr>
          <w:p>
            <w:pPr>
              <w:spacing w:after="0" w:line="276" w:lineRule="auto"/>
            </w:pPr>
            <w:r>
              <w:t>账号、计费单位、费用上限、付款和续约决定成本与退出</w:t>
            </w:r>
          </w:p>
        </w:tc>
        <w:tc>
          <w:tcPr>
            <w:tcW w:type="dxa" w:w="2721"/>
            <w:vAlign w:val="center"/>
            <w:tcMar>
              <w:top w:w="60" w:type="dxa"/>
              <w:start w:w="90" w:type="dxa"/>
              <w:bottom w:w="60" w:type="dxa"/>
              <w:end w:w="90" w:type="dxa"/>
            </w:tcMar>
          </w:tcPr>
          <w:p>
            <w:pPr>
              <w:spacing w:after="0" w:line="276" w:lineRule="auto"/>
            </w:pPr>
            <w:r>
              <w:t>订购单数量、单价、起止日、总费用、付款计划、续约通知和调价上限已填</w:t>
            </w:r>
          </w:p>
        </w:tc>
      </w:tr>
      <w:tr>
        <w:trPr>
          <w:cantSplit/>
        </w:trPr>
        <w:tc>
          <w:tcPr>
            <w:tcW w:type="dxa" w:w="2551"/>
            <w:vAlign w:val="center"/>
            <w:tcMar>
              <w:top w:w="60" w:type="dxa"/>
              <w:start w:w="90" w:type="dxa"/>
              <w:bottom w:w="60" w:type="dxa"/>
              <w:end w:w="90" w:type="dxa"/>
            </w:tcMar>
          </w:tcPr>
          <w:p>
            <w:pPr>
              <w:spacing w:after="0" w:line="276" w:lineRule="auto"/>
            </w:pPr>
            <w:r>
              <w:t>第 4 条 开通</w:t>
            </w:r>
          </w:p>
        </w:tc>
        <w:tc>
          <w:tcPr>
            <w:tcW w:type="dxa" w:w="4082"/>
            <w:vAlign w:val="center"/>
            <w:tcMar>
              <w:top w:w="60" w:type="dxa"/>
              <w:start w:w="90" w:type="dxa"/>
              <w:bottom w:w="60" w:type="dxa"/>
              <w:end w:w="90" w:type="dxa"/>
            </w:tcMar>
          </w:tcPr>
          <w:p>
            <w:pPr>
              <w:spacing w:after="0" w:line="276" w:lineRule="auto"/>
            </w:pPr>
            <w:r>
              <w:t>开通确认不等于持续 SLA</w:t>
            </w:r>
          </w:p>
        </w:tc>
        <w:tc>
          <w:tcPr>
            <w:tcW w:type="dxa" w:w="2721"/>
            <w:vAlign w:val="center"/>
            <w:tcMar>
              <w:top w:w="60" w:type="dxa"/>
              <w:start w:w="90" w:type="dxa"/>
              <w:bottom w:w="60" w:type="dxa"/>
              <w:end w:w="90" w:type="dxa"/>
            </w:tcMar>
          </w:tcPr>
          <w:p>
            <w:pPr>
              <w:spacing w:after="0" w:line="276" w:lineRule="auto"/>
            </w:pPr>
            <w:r>
              <w:t>开通核验单记录账号、权限、功能、接口、配置和缺陷</w:t>
            </w:r>
          </w:p>
        </w:tc>
      </w:tr>
      <w:tr>
        <w:trPr>
          <w:cantSplit/>
        </w:trPr>
        <w:tc>
          <w:tcPr>
            <w:tcW w:type="dxa" w:w="2551"/>
            <w:vAlign w:val="center"/>
            <w:tcMar>
              <w:top w:w="60" w:type="dxa"/>
              <w:start w:w="90" w:type="dxa"/>
              <w:bottom w:w="60" w:type="dxa"/>
              <w:end w:w="90" w:type="dxa"/>
            </w:tcMar>
            <w:shd w:fill="FCE4D6"/>
          </w:tcPr>
          <w:p>
            <w:pPr>
              <w:spacing w:after="0" w:line="276" w:lineRule="auto"/>
            </w:pPr>
            <w:r>
              <w:t>第 5 条 SLA</w:t>
            </w:r>
          </w:p>
        </w:tc>
        <w:tc>
          <w:tcPr>
            <w:tcW w:type="dxa" w:w="4082"/>
            <w:vAlign w:val="center"/>
            <w:tcMar>
              <w:top w:w="60" w:type="dxa"/>
              <w:start w:w="90" w:type="dxa"/>
              <w:bottom w:w="60" w:type="dxa"/>
              <w:end w:w="90" w:type="dxa"/>
            </w:tcMar>
            <w:shd w:fill="FCE4D6"/>
          </w:tcPr>
          <w:p>
            <w:pPr>
              <w:spacing w:after="0" w:line="276" w:lineRule="auto"/>
            </w:pPr>
            <w:r>
              <w:t>可用性、响应恢复、抵扣和持续违约退出</w:t>
            </w:r>
          </w:p>
        </w:tc>
        <w:tc>
          <w:tcPr>
            <w:tcW w:type="dxa" w:w="2721"/>
            <w:vAlign w:val="center"/>
            <w:tcMar>
              <w:top w:w="60" w:type="dxa"/>
              <w:start w:w="90" w:type="dxa"/>
              <w:bottom w:w="60" w:type="dxa"/>
              <w:end w:w="90" w:type="dxa"/>
            </w:tcMar>
            <w:shd w:fill="FCE4D6"/>
          </w:tcPr>
          <w:p>
            <w:pPr>
              <w:spacing w:after="0" w:line="276" w:lineRule="auto"/>
            </w:pPr>
            <w:r>
              <w:t>统计周期、计算方式、维护排除、故障等级、抵扣和退出条件明确</w:t>
            </w:r>
          </w:p>
        </w:tc>
      </w:tr>
      <w:tr>
        <w:trPr>
          <w:cantSplit/>
        </w:trPr>
        <w:tc>
          <w:tcPr>
            <w:tcW w:type="dxa" w:w="2551"/>
            <w:vAlign w:val="center"/>
            <w:tcMar>
              <w:top w:w="60" w:type="dxa"/>
              <w:start w:w="90" w:type="dxa"/>
              <w:bottom w:w="60" w:type="dxa"/>
              <w:end w:w="90" w:type="dxa"/>
            </w:tcMar>
            <w:shd w:fill="FCE4D6"/>
          </w:tcPr>
          <w:p>
            <w:pPr>
              <w:spacing w:after="0" w:line="276" w:lineRule="auto"/>
            </w:pPr>
            <w:r>
              <w:t>第 7 条 数据</w:t>
            </w:r>
          </w:p>
        </w:tc>
        <w:tc>
          <w:tcPr>
            <w:tcW w:type="dxa" w:w="4082"/>
            <w:vAlign w:val="center"/>
            <w:tcMar>
              <w:top w:w="60" w:type="dxa"/>
              <w:start w:w="90" w:type="dxa"/>
              <w:bottom w:w="60" w:type="dxa"/>
              <w:end w:w="90" w:type="dxa"/>
            </w:tcMar>
            <w:shd w:fill="FCE4D6"/>
          </w:tcPr>
          <w:p>
            <w:pPr>
              <w:spacing w:after="0" w:line="276" w:lineRule="auto"/>
            </w:pPr>
            <w:r>
              <w:t>处理关系、目的、类别、地点、分包、事件和删除</w:t>
            </w:r>
          </w:p>
        </w:tc>
        <w:tc>
          <w:tcPr>
            <w:tcW w:type="dxa" w:w="2721"/>
            <w:vAlign w:val="center"/>
            <w:tcMar>
              <w:top w:w="60" w:type="dxa"/>
              <w:start w:w="90" w:type="dxa"/>
              <w:bottom w:w="60" w:type="dxa"/>
              <w:end w:w="90" w:type="dxa"/>
            </w:tcMar>
            <w:shd w:fill="FCE4D6"/>
          </w:tcPr>
          <w:p>
            <w:pPr>
              <w:spacing w:after="0" w:line="276" w:lineRule="auto"/>
            </w:pPr>
            <w:r>
              <w:t>数据处理附表已完成；个人信息保护影响评估等专项已完成</w:t>
            </w:r>
          </w:p>
        </w:tc>
      </w:tr>
      <w:tr>
        <w:trPr>
          <w:cantSplit/>
        </w:trPr>
        <w:tc>
          <w:tcPr>
            <w:tcW w:type="dxa" w:w="2551"/>
            <w:vAlign w:val="center"/>
            <w:tcMar>
              <w:top w:w="60" w:type="dxa"/>
              <w:start w:w="90" w:type="dxa"/>
              <w:bottom w:w="60" w:type="dxa"/>
              <w:end w:w="90" w:type="dxa"/>
            </w:tcMar>
          </w:tcPr>
          <w:p>
            <w:pPr>
              <w:spacing w:after="0" w:line="276" w:lineRule="auto"/>
            </w:pPr>
            <w:r>
              <w:t>第 9 条 知识产权</w:t>
            </w:r>
          </w:p>
        </w:tc>
        <w:tc>
          <w:tcPr>
            <w:tcW w:type="dxa" w:w="4082"/>
            <w:vAlign w:val="center"/>
            <w:tcMar>
              <w:top w:w="60" w:type="dxa"/>
              <w:start w:w="90" w:type="dxa"/>
              <w:bottom w:w="60" w:type="dxa"/>
              <w:end w:w="90" w:type="dxa"/>
            </w:tcMar>
          </w:tcPr>
          <w:p>
            <w:pPr>
              <w:spacing w:after="0" w:line="276" w:lineRule="auto"/>
            </w:pPr>
            <w:r>
              <w:t>订阅许可、客户数据归属、反馈许可和第三方材料</w:t>
            </w:r>
          </w:p>
        </w:tc>
        <w:tc>
          <w:tcPr>
            <w:tcW w:type="dxa" w:w="2721"/>
            <w:vAlign w:val="center"/>
            <w:tcMar>
              <w:top w:w="60" w:type="dxa"/>
              <w:start w:w="90" w:type="dxa"/>
              <w:bottom w:w="60" w:type="dxa"/>
              <w:end w:w="90" w:type="dxa"/>
            </w:tcMar>
          </w:tcPr>
          <w:p>
            <w:r>
              <w:t>许可范围、客户数据权利及合法处理边界、反馈授权和开源/第三方清单明确</w:t>
            </w:r>
          </w:p>
        </w:tc>
      </w:tr>
      <w:tr>
        <w:trPr>
          <w:cantSplit/>
        </w:trPr>
        <w:tc>
          <w:tcPr>
            <w:tcW w:type="dxa" w:w="2551"/>
            <w:vAlign w:val="center"/>
            <w:tcMar>
              <w:top w:w="60" w:type="dxa"/>
              <w:start w:w="90" w:type="dxa"/>
              <w:bottom w:w="60" w:type="dxa"/>
              <w:end w:w="90" w:type="dxa"/>
            </w:tcMar>
            <w:shd w:fill="FCE4D6"/>
          </w:tcPr>
          <w:p>
            <w:pPr>
              <w:spacing w:after="0" w:line="276" w:lineRule="auto"/>
            </w:pPr>
            <w:r>
              <w:t>第 12 条 责任</w:t>
            </w:r>
          </w:p>
        </w:tc>
        <w:tc>
          <w:tcPr>
            <w:tcW w:type="dxa" w:w="4082"/>
            <w:vAlign w:val="center"/>
            <w:tcMar>
              <w:top w:w="60" w:type="dxa"/>
              <w:start w:w="90" w:type="dxa"/>
              <w:bottom w:w="60" w:type="dxa"/>
              <w:end w:w="90" w:type="dxa"/>
            </w:tcMar>
            <w:shd w:fill="FCE4D6"/>
          </w:tcPr>
          <w:p>
            <w:pPr>
              <w:spacing w:after="0" w:line="276" w:lineRule="auto"/>
            </w:pPr>
            <w:r>
              <w:t>责任上限、例外和数据泄露责任</w:t>
            </w:r>
          </w:p>
        </w:tc>
        <w:tc>
          <w:tcPr>
            <w:tcW w:type="dxa" w:w="2721"/>
            <w:vAlign w:val="center"/>
            <w:tcMar>
              <w:top w:w="60" w:type="dxa"/>
              <w:start w:w="90" w:type="dxa"/>
              <w:bottom w:w="60" w:type="dxa"/>
              <w:end w:w="90" w:type="dxa"/>
            </w:tcMar>
            <w:shd w:fill="FCE4D6"/>
          </w:tcPr>
          <w:p>
            <w:pPr>
              <w:spacing w:after="0" w:line="276" w:lineRule="auto"/>
            </w:pPr>
            <w:r>
              <w:t>上限与年度费用匹配；数据、知识产权、故意/重大过失不适用上限</w:t>
            </w:r>
          </w:p>
        </w:tc>
      </w:tr>
      <w:tr>
        <w:trPr>
          <w:cantSplit/>
        </w:trPr>
        <w:tc>
          <w:tcPr>
            <w:tcW w:type="dxa" w:w="2551"/>
            <w:vAlign w:val="center"/>
            <w:tcMar>
              <w:top w:w="60" w:type="dxa"/>
              <w:start w:w="90" w:type="dxa"/>
              <w:bottom w:w="60" w:type="dxa"/>
              <w:end w:w="90" w:type="dxa"/>
            </w:tcMar>
            <w:shd w:fill="FCE4D6"/>
          </w:tcPr>
          <w:p>
            <w:pPr>
              <w:spacing w:after="0" w:line="276" w:lineRule="auto"/>
            </w:pPr>
            <w:r>
              <w:t>第 13、14 条 暂停、解除与退出</w:t>
            </w:r>
          </w:p>
        </w:tc>
        <w:tc>
          <w:tcPr>
            <w:tcW w:type="dxa" w:w="4082"/>
            <w:vAlign w:val="center"/>
            <w:tcMar>
              <w:top w:w="60" w:type="dxa"/>
              <w:start w:w="90" w:type="dxa"/>
              <w:bottom w:w="60" w:type="dxa"/>
              <w:end w:w="90" w:type="dxa"/>
            </w:tcMar>
            <w:shd w:fill="FCE4D6"/>
          </w:tcPr>
          <w:p>
            <w:pPr>
              <w:spacing w:after="0" w:line="276" w:lineRule="auto"/>
            </w:pPr>
            <w:r>
              <w:t>服务连续性、数据导出、过渡访问和删除证明</w:t>
            </w:r>
          </w:p>
        </w:tc>
        <w:tc>
          <w:tcPr>
            <w:tcW w:type="dxa" w:w="2721"/>
            <w:vAlign w:val="center"/>
            <w:tcMar>
              <w:top w:w="60" w:type="dxa"/>
              <w:start w:w="90" w:type="dxa"/>
              <w:bottom w:w="60" w:type="dxa"/>
              <w:end w:w="90" w:type="dxa"/>
            </w:tcMar>
            <w:shd w:fill="FCE4D6"/>
          </w:tcPr>
          <w:p>
            <w:pPr>
              <w:spacing w:after="0" w:line="276" w:lineRule="auto"/>
            </w:pPr>
            <w:r>
              <w:t>暂停有通知和补救；退出有导出格式、窗口、协助、费用和删除</w:t>
            </w:r>
          </w:p>
        </w:tc>
      </w:tr>
    </w:tbl>
    <w:p>
      <w:pPr>
        <w:spacing w:after="60" w:line="300" w:lineRule="auto"/>
      </w:pPr>
      <w:r/>
    </w:p>
    <w:p>
      <w:pPr>
        <w:spacing w:after="60" w:line="300" w:lineRule="auto"/>
      </w:pPr>
      <w:r/>
    </w:p>
    <w:p>
      <w:pPr>
        <w:pStyle w:val="Heading1"/>
      </w:pPr>
      <w:r>
        <w:t>SaaS 采购合同</w:t>
      </w:r>
    </w:p>
    <w:p>
      <w:pPr>
        <w:keepNext w:val="0"/>
        <w:spacing w:before="0" w:after="60" w:line="300" w:lineRule="auto"/>
      </w:pPr>
      <w:r>
        <w:t>合同编号：【填写】</w:t>
      </w:r>
    </w:p>
    <w:p>
      <w:pPr>
        <w:keepNext w:val="0"/>
        <w:spacing w:before="0" w:after="60" w:line="300" w:lineRule="auto"/>
      </w:pPr>
      <w:r>
        <w:t>甲方（采购方/客户）：【填写企业全称】</w:t>
      </w:r>
    </w:p>
    <w:p>
      <w:pPr>
        <w:keepNext w:val="0"/>
        <w:spacing w:before="0" w:after="60" w:line="300" w:lineRule="auto"/>
      </w:pPr>
      <w:r>
        <w:t>统一社会信用代码：【填写】</w:t>
      </w:r>
    </w:p>
    <w:p>
      <w:pPr>
        <w:keepNext w:val="0"/>
        <w:spacing w:before="0" w:after="60" w:line="300" w:lineRule="auto"/>
      </w:pPr>
      <w:r>
        <w:t>住所：【填写】</w:t>
      </w:r>
    </w:p>
    <w:p>
      <w:pPr>
        <w:keepNext w:val="0"/>
        <w:spacing w:before="0" w:after="60" w:line="300" w:lineRule="auto"/>
      </w:pPr>
      <w:r>
        <w:t>乙方（服务商）：【填写企业全称】</w:t>
      </w:r>
    </w:p>
    <w:p>
      <w:pPr>
        <w:keepNext w:val="0"/>
        <w:spacing w:before="0" w:after="60" w:line="300" w:lineRule="auto"/>
      </w:pPr>
      <w:r>
        <w:t>统一社会信用代码：【填写】</w:t>
      </w:r>
    </w:p>
    <w:p>
      <w:pPr>
        <w:keepNext w:val="0"/>
        <w:spacing w:before="0" w:after="60" w:line="300" w:lineRule="auto"/>
      </w:pPr>
      <w:r>
        <w:t>住所：【填写】</w:t>
      </w:r>
    </w:p>
    <w:p>
      <w:pPr>
        <w:keepNext w:val="0"/>
        <w:spacing w:before="0" w:after="60" w:line="300" w:lineRule="auto"/>
      </w:pPr>
      <w:r>
        <w:t>（甲方、乙方单称“一方”，合称“双方”）</w:t>
      </w:r>
    </w:p>
    <w:p>
      <w:pPr>
        <w:keepNext w:val="0"/>
        <w:spacing w:before="120" w:after="60" w:line="300" w:lineRule="auto"/>
      </w:pPr>
      <w:r>
        <w:t>鉴于：</w:t>
      </w:r>
    </w:p>
    <w:p>
      <w:pPr>
        <w:pStyle w:val="ListNumber"/>
        <w:spacing w:after="40" w:line="312" w:lineRule="auto"/>
      </w:pPr>
      <w:r>
        <w:t>甲方拟采购乙方提供的【填写产品/服务名称】SaaS 订阅服务；</w:t>
      </w:r>
    </w:p>
    <w:p>
      <w:pPr>
        <w:pStyle w:val="ListNumber"/>
        <w:spacing w:after="40" w:line="312" w:lineRule="auto"/>
      </w:pPr>
      <w:r>
        <w:t>乙方具备提供相应服务的能力、资质和境内服务团队，并同意按本合同及附件提供服务；</w:t>
      </w:r>
    </w:p>
    <w:p>
      <w:pPr>
        <w:pStyle w:val="ListNumber"/>
        <w:spacing w:after="40" w:line="312" w:lineRule="auto"/>
      </w:pPr>
      <w:r>
        <w:t>双方希望明确订阅范围、费用、开通、服务水平、数据处理、责任、退出和争议解决。</w:t>
      </w:r>
    </w:p>
    <w:p>
      <w:pPr>
        <w:keepNext w:val="0"/>
        <w:spacing w:before="80" w:after="60" w:line="300" w:lineRule="auto"/>
      </w:pPr>
      <w:r>
        <w:t>因此，双方经平等协商，达成如下协议：</w:t>
      </w:r>
    </w:p>
    <w:p>
      <w:pPr>
        <w:pStyle w:val="Heading2"/>
      </w:pPr>
      <w:r>
        <w:t>第一条  定义与文件组成</w:t>
      </w:r>
    </w:p>
    <w:p>
      <w:pPr>
        <w:keepNext w:val="0"/>
        <w:spacing w:before="0" w:after="60" w:line="300" w:lineRule="auto"/>
      </w:pPr>
      <w:r>
        <w:t>1.1 本合同由主合同、订购单、开通核验单、SLA、数据处理附表、退出清单及双方签署的其他附件组成，均为本合同不可分割的组成部分。</w:t>
      </w:r>
    </w:p>
    <w:p>
      <w:pPr>
        <w:keepNext w:val="0"/>
        <w:spacing w:before="0" w:after="60" w:line="300" w:lineRule="auto"/>
      </w:pPr>
      <w:r>
        <w:t>1.2 文件之间不一致时，按下列顺序解释：（a）双方最后签署的变更单或补充协议；（b）主合同正文；（c）订购单；（d）数据处理附表；（e）SLA；（f）开通核验单；（g）其他附件。涉及个人信息保护义务的，数据处理附表优先于与之冲突的主合同条款，但不得低于法律强制性要求。</w:t>
      </w:r>
    </w:p>
    <w:p>
      <w:pPr>
        <w:keepNext w:val="0"/>
        <w:spacing w:before="0" w:after="60" w:line="300" w:lineRule="auto"/>
      </w:pPr>
      <w:r>
        <w:t>1.3 本合同所称“服务”指乙方通过多租户云平台向甲方提供的 SaaS 订阅服务及其支持服务；“客户数据”指甲方及其用户通过服务提交、存储或处理的全部数据；“个人数据”指与已识别或可识别自然人有关的任何信息。</w:t>
      </w:r>
    </w:p>
    <w:p>
      <w:pPr>
        <w:keepNext w:val="0"/>
        <w:spacing w:before="0" w:after="60" w:line="300" w:lineRule="auto"/>
      </w:pPr>
      <w:r>
        <w:t>1.4 本合同所称“工作日”指中华人民共和国法定工作日；“日”指自然日，双方另有明确约定的除外。</w:t>
      </w:r>
    </w:p>
    <w:p>
      <w:pPr>
        <w:pStyle w:val="Heading2"/>
      </w:pPr>
      <w:r>
        <w:t>第二条  服务范围与订阅</w:t>
      </w:r>
    </w:p>
    <w:p>
      <w:pPr>
        <w:keepNext w:val="0"/>
        <w:spacing w:before="0" w:after="60" w:line="300" w:lineRule="auto"/>
      </w:pPr>
      <w:r>
        <w:t>2.1 乙方按订购单列明的产品、版本、模块、账号数量、计费单位、服务期限和包含服务向甲方提供服务。订购单未列明的模块、接口、存储、培训或实施服务，不属于本合同范围。</w:t>
      </w:r>
    </w:p>
    <w:p>
      <w:pPr>
        <w:keepNext w:val="0"/>
        <w:spacing w:before="0" w:after="60" w:line="300" w:lineRule="auto"/>
      </w:pPr>
      <w:r>
        <w:t>2.2 乙方应提供为正常使用服务所必需的访问方式、账号管理、权限配置、技术支持、版本升级和安全补丁。具体支持渠道、时间和响应目标见 SLA。</w:t>
      </w:r>
    </w:p>
    <w:p>
      <w:pPr>
        <w:keepNext w:val="0"/>
        <w:spacing w:before="0" w:after="60" w:line="300" w:lineRule="auto"/>
      </w:pPr>
      <w:r>
        <w:t>2.3 乙方不得未经甲方书面同意，将服务实质性降级、删除核心功能、改变计费单位或限制甲方已购买的容量。乙方计划停止提供某项功能或接口的，应提前不少于十二（12）个月书面通知甲方，并提供替代方案或退出协助。</w:t>
      </w:r>
    </w:p>
    <w:p>
      <w:pPr>
        <w:keepNext w:val="0"/>
        <w:spacing w:before="0" w:after="60" w:line="300" w:lineRule="auto"/>
      </w:pPr>
      <w:r>
        <w:t>2.4 服务默认在中华人民共和国境内多租户环境部署，由境内服务团队提供支持和运维，不进行跨境访问或传输。确需跨境访问、境外支持或数据出境的，应事先取得甲方书面同意，并完成适用的安全评估、标准合同、认证或其他法定程序。</w:t>
      </w:r>
    </w:p>
    <w:p>
      <w:pPr>
        <w:keepNext w:val="0"/>
        <w:spacing w:before="0" w:after="60" w:line="300" w:lineRule="auto"/>
      </w:pPr>
      <w:r>
        <w:t>2.5 本合同不包含定制开发、私有化部署、源代码交付、软硬一体或复杂系统集成。需要上述服务的，应另行签署专项合同，不得以本合同的“实施”“配置”名义变相扩大范围。</w:t>
      </w:r>
    </w:p>
    <w:p>
      <w:pPr>
        <w:pStyle w:val="Heading2"/>
      </w:pPr>
      <w:r>
        <w:t>第三条  订购、费用、付款与续约</w:t>
      </w:r>
    </w:p>
    <w:p>
      <w:pPr>
        <w:keepNext w:val="0"/>
        <w:spacing w:before="0" w:after="60" w:line="300" w:lineRule="auto"/>
      </w:pPr>
      <w:r>
        <w:t>3.1 订阅数量、单价、计费单位、订阅起止、总费用、付款计划和包含服务以订购单为准。订购单与本合同不一致时，以本合同为准；但双方明确约定以订购单特别条款优先的除外。</w:t>
      </w:r>
    </w:p>
    <w:p>
      <w:pPr>
        <w:keepNext w:val="0"/>
        <w:spacing w:before="0" w:after="60" w:line="300" w:lineRule="auto"/>
      </w:pPr>
      <w:r>
        <w:t>3.2 本合同费用为含税总价人民币【填写】元（大写：【填写】），适用增值税税率【填写】%。乙方应开具合法有效的增值税专用发票。除订购单明确列明的费用外，乙方不得收取激活费、接口费、培训费、存储超额费或其他未列明费用。</w:t>
      </w:r>
    </w:p>
    <w:p>
      <w:pPr>
        <w:keepNext w:val="0"/>
        <w:spacing w:before="0" w:after="60" w:line="300" w:lineRule="auto"/>
      </w:pPr>
      <w:r>
        <w:t>3.3 付款按订购单列明的期次支付。默认付款安排为：合同生效后十（10）个工作日内支付百分之三十（30%）作为首期款；服务开通并完成开通核验后支付百分之七十（70%）。双方可以采用其他比例，但预付款超过百分之三十的，应登记偏离并完成财务核验；超过百分之五十的，进入 R3 升级审批。</w:t>
      </w:r>
    </w:p>
    <w:p>
      <w:pPr>
        <w:keepNext w:val="0"/>
        <w:spacing w:before="0" w:after="60" w:line="300" w:lineRule="auto"/>
      </w:pPr>
      <w:r>
        <w:t>3.4 乙方应在每期付款前提交合法发票和对应的付款条件证明材料。开票不等于开通，付款不等于验收；甲方不得以内部流程为由无限推迟已满足条件的付款。</w:t>
      </w:r>
    </w:p>
    <w:p>
      <w:pPr>
        <w:keepNext w:val="0"/>
        <w:spacing w:before="0" w:after="60" w:line="300" w:lineRule="auto"/>
      </w:pPr>
      <w:r>
        <w:t>3.5 订阅到期前，双方应就是否续约作出书面决定。默认续约通知期限为到期前六十（60）日，具体以订购单为准。未在通知期限内书面确认续约的，服务按约定到期终止，不自动续约；订购单明确约定自动续约的，应同时约定提前通知、取消方式和续约价格上限，并完成重新审批。</w:t>
      </w:r>
    </w:p>
    <w:p>
      <w:pPr>
        <w:keepNext w:val="0"/>
        <w:spacing w:before="0" w:after="60" w:line="300" w:lineRule="auto"/>
      </w:pPr>
      <w:r>
        <w:t>3.6 续约价格调整不得超过上一订阅期同规格单价的百分之五（5%），法律、税费或基础资源成本发生重大变化的除外；超过上限的，应重新谈判并完成审批。续约费用计入新一期的累计承诺。</w:t>
      </w:r>
    </w:p>
    <w:p>
      <w:pPr>
        <w:keepNext w:val="0"/>
        <w:spacing w:before="0" w:after="60" w:line="300" w:lineRule="auto"/>
      </w:pPr>
      <w:r>
        <w:t>3.7 乙方调整价格、计费单位或套餐结构的，应提前不少于六十（60）日书面通知甲方；甲方有权在调整生效前选择不续约或按原价格履行至当期结束。</w:t>
      </w:r>
    </w:p>
    <w:p>
      <w:pPr>
        <w:pStyle w:val="Heading2"/>
      </w:pPr>
      <w:r>
        <w:t>第四条  开通、核验与持续服务</w:t>
      </w:r>
    </w:p>
    <w:p>
      <w:pPr>
        <w:keepNext w:val="0"/>
        <w:spacing w:before="0" w:after="60" w:line="300" w:lineRule="auto"/>
      </w:pPr>
      <w:r>
        <w:t>4.1 乙方应在订购单约定的开通日前完成租户创建、账号配置、权限设置、接口联调和必要的数据导入，并向甲方提交开通核验单。</w:t>
      </w:r>
    </w:p>
    <w:p>
      <w:pPr>
        <w:keepNext w:val="0"/>
        <w:spacing w:before="0" w:after="60" w:line="300" w:lineRule="auto"/>
      </w:pPr>
      <w:r>
        <w:t>4.2 开通核验单应记录：租户标识、访问地址、账号数量和类型、管理员权限、单点登录、接口、配置项、数据导入结果、已知缺陷和双方确认人。甲方应在收到完整开通材料后十（10）个工作日内完成核验，并书面确认开通或列明缺陷。</w:t>
      </w:r>
    </w:p>
    <w:p>
      <w:pPr>
        <w:keepNext w:val="0"/>
        <w:spacing w:before="0" w:after="60" w:line="300" w:lineRule="auto"/>
      </w:pPr>
      <w:r>
        <w:t>4.3 开通确认仅表示甲方可以开始使用服务，不替代持续 SLA、缺陷修复、数据保护义务或后续验收。开通核验单中的已知缺陷应列入整改计划，明确责任人和完成时间。</w:t>
      </w:r>
    </w:p>
    <w:p>
      <w:pPr>
        <w:keepNext w:val="0"/>
        <w:spacing w:before="0" w:after="60" w:line="300" w:lineRule="auto"/>
      </w:pPr>
      <w:r>
        <w:t>4.4 因乙方原因导致开通延迟的，服务期自实际开通之日起算，乙方应顺延相应服务期或按日减免费用；因甲方未提供必要信息或环境导致的延迟，服务期按约定顺延，乙方不承担延迟责任。</w:t>
      </w:r>
    </w:p>
    <w:p>
      <w:pPr>
        <w:keepNext w:val="0"/>
        <w:spacing w:before="0" w:after="60" w:line="300" w:lineRule="auto"/>
      </w:pPr>
      <w:r>
        <w:t>4.5 乙方应持续提供服务，不得因甲方未支付无争议金额以外的原因暂停服务；确需暂停的，按第 13 条处理。</w:t>
      </w:r>
    </w:p>
    <w:p>
      <w:pPr>
        <w:pStyle w:val="Heading2"/>
      </w:pPr>
      <w:r>
        <w:t>第五条  服务水平与支持</w:t>
      </w:r>
    </w:p>
    <w:p>
      <w:pPr>
        <w:keepNext w:val="0"/>
        <w:spacing w:before="0" w:after="60" w:line="300" w:lineRule="auto"/>
      </w:pPr>
      <w:r>
        <w:t>5.1 乙方应按附件三 SLA 提供服务，月度可用性目标为百分之九十九点九（99.9%）。可用性按附件三的公式计算，统计周期为每个自然月。</w:t>
      </w:r>
    </w:p>
    <w:p>
      <w:pPr>
        <w:keepNext w:val="0"/>
        <w:spacing w:before="0" w:after="60" w:line="300" w:lineRule="auto"/>
      </w:pPr>
      <w:r>
        <w:t>5.2 乙方应提供故障受理、分级、响应、恢复和进展通知。故障等级、响应时间、恢复目标和支持时间见附件三。</w:t>
      </w:r>
    </w:p>
    <w:p>
      <w:pPr>
        <w:keepNext w:val="0"/>
        <w:spacing w:before="0" w:after="60" w:line="300" w:lineRule="auto"/>
      </w:pPr>
      <w:r>
        <w:t>5.3 未达到可用性目标的，甲方有权按附件三主张服务抵扣。抵扣以当月服务费为基数，按附件三分档计算；抵扣不影响甲方就重大违约、数据泄露或其他损失依法主张救济。</w:t>
      </w:r>
    </w:p>
    <w:p>
      <w:pPr>
        <w:keepNext w:val="0"/>
        <w:spacing w:before="0" w:after="60" w:line="300" w:lineRule="auto"/>
      </w:pPr>
      <w:r>
        <w:t>5.4 发生持续违约的，甲方有权按附件三的约定解除合同并要求退还未使用期间的费用。持续违约包括连续两个月可用性低于 99.5%、任一个月低于 99.0%，或六个月内两次达到最高抵扣档。</w:t>
      </w:r>
    </w:p>
    <w:p>
      <w:pPr>
        <w:keepNext w:val="0"/>
        <w:spacing w:before="0" w:after="60" w:line="300" w:lineRule="auto"/>
      </w:pPr>
      <w:r>
        <w:t>5.5 乙方应保存监控、告警、故障、恢复和抵扣计算记录不少于十二（12）个月，并在甲方合理要求时提供。甲方对统计有异议的，双方应核对原始日志；无法核对的，按有利于甲方的合理方式处理，但甲方不得滥用该规则。</w:t>
      </w:r>
    </w:p>
    <w:p>
      <w:pPr>
        <w:pStyle w:val="Heading2"/>
      </w:pPr>
      <w:r>
        <w:t>第六条  变更、升级与停服</w:t>
      </w:r>
    </w:p>
    <w:p>
      <w:pPr>
        <w:keepNext w:val="0"/>
        <w:spacing w:before="0" w:after="60" w:line="300" w:lineRule="auto"/>
      </w:pPr>
      <w:r>
        <w:t>6.1 乙方对服务进行的常规升级、维护和安全补丁，应尽量减少对甲方的影响，并提前通知计划维护。计划维护按附件三的规则不计入不可用时间。</w:t>
      </w:r>
    </w:p>
    <w:p>
      <w:pPr>
        <w:keepNext w:val="0"/>
        <w:spacing w:before="0" w:after="60" w:line="300" w:lineRule="auto"/>
      </w:pPr>
      <w:r>
        <w:t>6.2 涉及核心功能、接口、数据格式、计费单位或安全架构的重大变更，乙方应提前不少于三十（30）日书面通知甲方，并提供兼容性说明、迁移方案和必要的协助。</w:t>
      </w:r>
    </w:p>
    <w:p>
      <w:pPr>
        <w:keepNext w:val="0"/>
        <w:spacing w:before="0" w:after="60" w:line="300" w:lineRule="auto"/>
      </w:pPr>
      <w:r>
        <w:t>6.3 甲方要求增加账号、模块、存储或接口的，应签署订购单变更或补充协议；变更后的费用、服务期和 SLA 应明确。变更导致金额、期限或预付款跨越审批档位的，甲方应重新审批。</w:t>
      </w:r>
    </w:p>
    <w:p>
      <w:pPr>
        <w:keepNext w:val="0"/>
        <w:spacing w:before="0" w:after="60" w:line="300" w:lineRule="auto"/>
      </w:pPr>
      <w:r>
        <w:t>6.4 乙方不得以停服、限制功能或拒绝支持的方式迫使甲方接受未约定的涨价、扩量或其他商业条件。</w:t>
      </w:r>
    </w:p>
    <w:p>
      <w:pPr>
        <w:pStyle w:val="Heading2"/>
      </w:pPr>
      <w:r>
        <w:t>第七条  数据保护与安全</w:t>
      </w:r>
    </w:p>
    <w:p>
      <w:pPr>
        <w:keepNext w:val="0"/>
        <w:spacing w:before="0" w:after="60" w:line="300" w:lineRule="auto"/>
      </w:pPr>
      <w:r>
        <w:t>7.1 双方的角色按附件四确定。甲方通常为个人信息处理者，乙方为受托人；如乙方独立决定处理目的和方式，则应按适用法律承担相应责任。</w:t>
      </w:r>
    </w:p>
    <w:p>
      <w:pPr>
        <w:keepNext w:val="0"/>
        <w:spacing w:before="0" w:after="60" w:line="300" w:lineRule="auto"/>
      </w:pPr>
      <w:r>
        <w:t>7.2 乙方仅按甲方书面指示和附件四处理客户数据和个人数据，不得超出约定目的、范围或期限处理，不得出售、出租、用于广告、模型训练或与服务无关的目的。</w:t>
      </w:r>
    </w:p>
    <w:p>
      <w:pPr>
        <w:keepNext w:val="0"/>
        <w:spacing w:before="0" w:after="60" w:line="300" w:lineRule="auto"/>
      </w:pPr>
      <w:r>
        <w:t>7.3 乙方应采取附件四列明的安全措施，包括访问控制、加密、日志、漏洞管理、备份、员工保密和事件响应，并定期评估风险。</w:t>
      </w:r>
    </w:p>
    <w:p>
      <w:pPr>
        <w:keepNext w:val="0"/>
        <w:spacing w:before="0" w:after="60" w:line="300" w:lineRule="auto"/>
      </w:pPr>
      <w:r>
        <w:t>7.4 未经甲方事先书面同意，乙方不得将个人数据转委托给分包商，不得将数据存储在境外或允许境外访问。经同意分包的，乙方仍对分包商的行为承担全部责任。</w:t>
      </w:r>
    </w:p>
    <w:p>
      <w:pPr>
        <w:keepNext w:val="0"/>
        <w:spacing w:before="0" w:after="60" w:line="300" w:lineRule="auto"/>
      </w:pPr>
      <w:r>
        <w:t>7.5 发生数据泄露、丢失、篡改或未经授权访问的，乙方应立即采取补救措施，并在二十四（24）小时内书面通知甲方，说明涉及的数据类别、范围、原因、已采取措施和后续计划；乙方应协助甲方履行通知、报告和补救义务。</w:t>
      </w:r>
    </w:p>
    <w:p>
      <w:pPr>
        <w:keepNext w:val="0"/>
        <w:spacing w:before="0" w:after="60" w:line="300" w:lineRule="auto"/>
      </w:pPr>
      <w:r>
        <w:t>7.6 甲方有权在合理通知后对乙方的数据保护措施进行审计或要求第三方审计报告；审计不得影响服务正常运行，乙方应提供必要的配合。</w:t>
      </w:r>
    </w:p>
    <w:p>
      <w:pPr>
        <w:keepNext w:val="0"/>
        <w:spacing w:before="0" w:after="60" w:line="300" w:lineRule="auto"/>
      </w:pPr>
      <w:r>
        <w:t>7.7 本合同不替代个人信息保护影响评估、处理合法性判断、跨境程序或其他专项合规义务。涉及敏感个人信息、重要数据、跨境传输或大规模个人信息处理的，应暂停并转专项。</w:t>
      </w:r>
    </w:p>
    <w:p>
      <w:pPr>
        <w:pStyle w:val="Heading2"/>
      </w:pPr>
      <w:r>
        <w:t>第八条  分包与第三方服务</w:t>
      </w:r>
    </w:p>
    <w:p>
      <w:pPr>
        <w:keepNext w:val="0"/>
        <w:spacing w:before="0" w:after="60" w:line="300" w:lineRule="auto"/>
      </w:pPr>
      <w:r>
        <w:t>8.1 乙方不得将全部或主要服务分包。未经甲方事先书面同意，乙方不得将涉及客户数据、核心功能或客户支持的部分分包。</w:t>
      </w:r>
    </w:p>
    <w:p>
      <w:pPr>
        <w:keepNext w:val="0"/>
        <w:spacing w:before="0" w:after="60" w:line="300" w:lineRule="auto"/>
      </w:pPr>
      <w:r>
        <w:t>8.2 经同意分包的，乙方仍对分包部分向甲方承担全部责任，不得以分包商原因为由免除或减轻责任。</w:t>
      </w:r>
    </w:p>
    <w:p>
      <w:pPr>
        <w:keepNext w:val="0"/>
        <w:spacing w:before="0" w:after="60" w:line="300" w:lineRule="auto"/>
      </w:pPr>
      <w:r>
        <w:t>8.3 乙方应在附件四列明分包商名称、所在地、服务内容、接触的数据类别和安全措施；分包商变更应提前三十（30）日书面通知，甲方有权基于数据安全或合规理由合理反对。</w:t>
      </w:r>
    </w:p>
    <w:p>
      <w:pPr>
        <w:keepNext w:val="0"/>
        <w:spacing w:before="0" w:after="60" w:line="300" w:lineRule="auto"/>
      </w:pPr>
      <w:r>
        <w:t>8.4 服务包含第三方组件、开源软件或外部接口的，乙方应在订购单或附件中列明名称、版本、许可证和支持范围，并确保甲方按约定使用不侵犯第三方权利。</w:t>
      </w:r>
    </w:p>
    <w:p>
      <w:pPr>
        <w:pStyle w:val="Heading2"/>
      </w:pPr>
      <w:r>
        <w:t>第九条  知识产权与许可</w:t>
      </w:r>
    </w:p>
    <w:p>
      <w:pPr>
        <w:keepNext w:val="0"/>
        <w:spacing w:before="0" w:after="60" w:line="300" w:lineRule="auto"/>
      </w:pPr>
      <w:r>
        <w:t>9.1 乙方保留服务、平台、软件、文档、模板、算法及其背景知识产权的一切权利。甲方仅获得为使用服务所必需的、非独占、不可转让、不可再许可的订阅许可，许可期限与订阅期一致。</w:t>
      </w:r>
    </w:p>
    <w:p>
      <w:pPr>
        <w:keepNext w:val="0"/>
        <w:spacing w:before="0" w:after="60" w:line="300" w:lineRule="auto"/>
      </w:pPr>
      <w:r>
        <w:t>9.2 客户数据中既有的知识产权依法归甲方或原权利人享有；乙方仅按本合同及甲方合法指示处理，不取得独立使用或处分权。本条不创设对个人信息的所有权，不限制个人依法享有的权利，也不扩大甲方的处理权限。</w:t>
      </w:r>
    </w:p>
    <w:p>
      <w:pPr>
        <w:keepNext w:val="0"/>
        <w:spacing w:before="0" w:after="60" w:line="300" w:lineRule="auto"/>
      </w:pPr>
      <w:r>
        <w:t>9.3 甲方为改进服务提供的反馈、建议或想法，甲方授予乙方一项非独占、免许可费、不可转让的许可，用于改进乙方产品和服务；乙方不得在对外宣传中使用甲方名称、标识或可识别甲方的事实，除非取得甲方书面同意。</w:t>
      </w:r>
    </w:p>
    <w:p>
      <w:pPr>
        <w:keepNext w:val="0"/>
        <w:spacing w:before="0" w:after="60" w:line="300" w:lineRule="auto"/>
      </w:pPr>
      <w:r>
        <w:t>9.4 服务包含开源软件的，乙方应遵守相应许可证，并提供必要的许可证文本和归属声明；开源许可证要求可能影响甲方使用的，乙方应事先书面说明。</w:t>
      </w:r>
    </w:p>
    <w:p>
      <w:pPr>
        <w:keepNext w:val="0"/>
        <w:spacing w:before="0" w:after="60" w:line="300" w:lineRule="auto"/>
      </w:pPr>
      <w:r>
        <w:t>9.5 本合同不转让乙方背景知识产权，也不转让甲方客户数据。服务终止后，订阅许可终止，但甲方在退出期内仍可使用服务导出数据。</w:t>
      </w:r>
    </w:p>
    <w:p>
      <w:pPr>
        <w:pStyle w:val="Heading2"/>
      </w:pPr>
      <w:r>
        <w:t>第十条  保密</w:t>
      </w:r>
    </w:p>
    <w:p>
      <w:pPr>
        <w:keepNext w:val="0"/>
        <w:spacing w:before="0" w:after="60" w:line="300" w:lineRule="auto"/>
      </w:pPr>
      <w:r>
        <w:t>10.1 双方对因本合同知悉的对方非公开信息承担保密义务，保密期限自信息披露之日起持续三（3）年；构成商业秘密的，按法定条件持续保护。保密义务不因合同终止而终止。</w:t>
      </w:r>
    </w:p>
    <w:p>
      <w:pPr>
        <w:keepNext w:val="0"/>
        <w:spacing w:before="0" w:after="60" w:line="300" w:lineRule="auto"/>
      </w:pPr>
      <w:r>
        <w:t>10.2 保密信息不包括已经公开、接收方合法知悉、从有权第三方合法取得或独立开发的信息；主张例外的一方应提供合理证据。</w:t>
      </w:r>
    </w:p>
    <w:p>
      <w:pPr>
        <w:keepNext w:val="0"/>
        <w:spacing w:before="0" w:after="60" w:line="300" w:lineRule="auto"/>
      </w:pPr>
      <w:r>
        <w:t>10.3 接收方仅可向因履行合同确有必要知悉的人员披露，并确保其受到不低于本合同的保密义务约束。</w:t>
      </w:r>
    </w:p>
    <w:p>
      <w:pPr>
        <w:keepNext w:val="0"/>
        <w:spacing w:before="0" w:after="60" w:line="300" w:lineRule="auto"/>
      </w:pPr>
      <w:r>
        <w:t>10.4 发生保密信息泄露的，发现方应立即采取补救措施，并在二十四（24）小时内书面通知对方；涉及个人数据的，同时适用第 7.5 条。</w:t>
      </w:r>
    </w:p>
    <w:p>
      <w:pPr>
        <w:pStyle w:val="Heading2"/>
      </w:pPr>
      <w:r>
        <w:t>第十一条  陈述、保证与合规</w:t>
      </w:r>
    </w:p>
    <w:p>
      <w:pPr>
        <w:keepNext w:val="0"/>
        <w:spacing w:before="0" w:after="60" w:line="300" w:lineRule="auto"/>
      </w:pPr>
      <w:r>
        <w:t>11.1 各方陈述并保证：其依法设立并有效存续，签署和履行本合同已取得必要授权；签署人具有代表其签署本合同的权限。</w:t>
      </w:r>
    </w:p>
    <w:p>
      <w:pPr>
        <w:keepNext w:val="0"/>
        <w:spacing w:before="0" w:after="60" w:line="300" w:lineRule="auto"/>
      </w:pPr>
      <w:r>
        <w:t>11.2 乙方保证：服务将按本合同、SLA 和行业合理标准提供；其拥有提供服务的必要资质和授权；服务不侵犯第三方知识产权；其不会在服务中植入恶意代码、后门或未经披露的遥测。</w:t>
      </w:r>
    </w:p>
    <w:p>
      <w:pPr>
        <w:keepNext w:val="0"/>
        <w:spacing w:before="0" w:after="60" w:line="300" w:lineRule="auto"/>
      </w:pPr>
      <w:r>
        <w:t>11.3 各方应遵守适用的反腐败、反商业贿赂、出口管制、经济制裁、数据保护、网络安全和其他强制性规定。</w:t>
      </w:r>
    </w:p>
    <w:p>
      <w:pPr>
        <w:keepNext w:val="0"/>
        <w:spacing w:before="0" w:after="60" w:line="300" w:lineRule="auto"/>
      </w:pPr>
      <w:r>
        <w:t>11.4 乙方保证其数据处理活动符合附件四和适用法律；如乙方收到政府机关对客户数据的访问要求，应在法律允许范围内及时通知甲方，并仅提供被要求的最小范围。</w:t>
      </w:r>
    </w:p>
    <w:p>
      <w:pPr>
        <w:pStyle w:val="Heading2"/>
      </w:pPr>
      <w:r>
        <w:t>第十二条  责任</w:t>
      </w:r>
    </w:p>
    <w:p>
      <w:pPr>
        <w:keepNext w:val="0"/>
        <w:spacing w:before="0" w:after="60" w:line="300" w:lineRule="auto"/>
      </w:pPr>
      <w:r>
        <w:t>12.1 一方违反本合同，应赔偿守约方因此遭受的直接损失，包括合理的律师费、诉讼费、保全费和为减轻损失支出的费用。</w:t>
      </w:r>
    </w:p>
    <w:p>
      <w:pPr>
        <w:keepNext w:val="0"/>
        <w:spacing w:before="0" w:after="60" w:line="300" w:lineRule="auto"/>
      </w:pPr>
      <w:r>
        <w:t>12.2 除故意或重大过失、侵犯知识产权、违反保密义务、违反数据保护义务、造成人身损害或违反法律强制性规定外，任何一方不承担间接损失、附带损失、惩罚性赔偿或可得利益损失。</w:t>
      </w:r>
    </w:p>
    <w:p>
      <w:pPr>
        <w:keepNext w:val="0"/>
        <w:spacing w:before="0" w:after="60" w:line="300" w:lineRule="auto"/>
      </w:pPr>
      <w:r>
        <w:t>12.3 除本条明确排除的情形外，乙方在本合同项下的累计赔偿责任以订购单约定的当期年度服务费总额（不因分期付款减少）为限；甲方逾期付款的累计违约金以逾期金额的百分之五为限。</w:t>
      </w:r>
    </w:p>
    <w:p>
      <w:pPr>
        <w:keepNext w:val="0"/>
        <w:spacing w:before="0" w:after="60" w:line="300" w:lineRule="auto"/>
      </w:pPr>
      <w:r>
        <w:t>12.4 以下责任不适用第 12.3 条的上限：故意或重大过失；侵犯知识产权；违反保密义务；违反数据保护义务；造成人身损害；法律强制规定的责任。</w:t>
      </w:r>
    </w:p>
    <w:p>
      <w:pPr>
        <w:keepNext w:val="0"/>
        <w:spacing w:before="0" w:after="60" w:line="300" w:lineRule="auto"/>
      </w:pPr>
      <w:r>
        <w:t>12.5 乙方未达到 SLA 的，按附件三支付服务抵扣；抵扣不构成对数据泄露、知识产权侵权、故意或重大过失或其他重大违约的唯一救济，甲方仍可依法主张救济。</w:t>
      </w:r>
    </w:p>
    <w:p>
      <w:pPr>
        <w:keepNext w:val="0"/>
        <w:spacing w:before="0" w:after="60" w:line="300" w:lineRule="auto"/>
      </w:pPr>
      <w:r>
        <w:t>12.6 违约金与损失赔偿的关系：守约方可以主张违约金；违约金不足以弥补实际损失的，可以就差额部分主张赔偿，但不得就同一损失获得重复补偿。违约方已支付的违约金应在最终赔偿额中抵扣。</w:t>
      </w:r>
    </w:p>
    <w:p>
      <w:pPr>
        <w:keepNext w:val="0"/>
        <w:spacing w:before="0" w:after="60" w:line="300" w:lineRule="auto"/>
      </w:pPr>
      <w:r>
        <w:t>12.7 一方违约后，对方应采取适当措施防止损失扩大；未采取适当措施致使损失扩大的，不得就扩大的损失请求赔偿。</w:t>
      </w:r>
    </w:p>
    <w:p>
      <w:pPr>
        <w:keepNext w:val="0"/>
        <w:spacing w:before="0" w:after="60" w:line="300" w:lineRule="auto"/>
      </w:pPr>
      <w:r>
        <w:t>12.8 本合同的责任限制不排除《民法典》第 506 条规定的无效情形，即造成对方人身损害，以及因故意或者重大过失造成对方财产损失的免责条款无效；也不排除法律强制规定的其他责任。</w:t>
      </w:r>
    </w:p>
    <w:p>
      <w:pPr>
        <w:pStyle w:val="Heading2"/>
      </w:pPr>
      <w:r>
        <w:t>第十三条  暂停、解除与终止</w:t>
      </w:r>
    </w:p>
    <w:p>
      <w:pPr>
        <w:keepNext w:val="0"/>
        <w:spacing w:before="0" w:after="60" w:line="300" w:lineRule="auto"/>
      </w:pPr>
      <w:r>
        <w:t>13.1 甲方未支付到期无争议金额超过三十（30）日，经乙方书面催告后十（10）个工作日内仍未支付的，乙方可以暂停服务；暂停前应书面通知，说明欠费金额、暂停范围和恢复条件。乙方不得因有争议的金额暂停全部服务。</w:t>
      </w:r>
    </w:p>
    <w:p>
      <w:pPr>
        <w:keepNext w:val="0"/>
        <w:spacing w:before="0" w:after="60" w:line="300" w:lineRule="auto"/>
      </w:pPr>
      <w:r>
        <w:t>13.2 一方严重违反本合同，经守约方书面通知后十（10）个工作日内未纠正的，守约方有权解除合同。</w:t>
      </w:r>
    </w:p>
    <w:p>
      <w:pPr>
        <w:keepNext w:val="0"/>
        <w:spacing w:before="0" w:after="60" w:line="300" w:lineRule="auto"/>
      </w:pPr>
      <w:r>
        <w:t>13.3 发生下列情形之一的，甲方有权立即解除合同：乙方连续两个月可用性低于 99.5%；任一个月低于 99.0%；乙方发生重大数据泄露且未在合理期限内补救；乙方丧失服务资质或进入破产、清算程序。</w:t>
      </w:r>
    </w:p>
    <w:p>
      <w:pPr>
        <w:keepNext w:val="0"/>
        <w:spacing w:before="0" w:after="60" w:line="300" w:lineRule="auto"/>
      </w:pPr>
      <w:r>
        <w:t>13.4 甲方可提前三十（30）日书面通知乙方解除合同，但应支付已使用期间的服务费和已实际发生且无法回收的合理费用；乙方应退还未使用期间的预付款。</w:t>
      </w:r>
    </w:p>
    <w:p>
      <w:pPr>
        <w:keepNext w:val="0"/>
        <w:spacing w:before="0" w:after="60" w:line="300" w:lineRule="auto"/>
      </w:pPr>
      <w:r>
        <w:t>13.5 合同解除或终止后，乙方应按附件五提供数据导出、过渡访问、迁移协助、费用结算、权限回收和删除证明。</w:t>
      </w:r>
    </w:p>
    <w:p>
      <w:pPr>
        <w:keepNext w:val="0"/>
        <w:spacing w:before="0" w:after="60" w:line="300" w:lineRule="auto"/>
      </w:pPr>
      <w:r>
        <w:t>13.6 合同解除不影响结算、清理、保密、知识产权、数据保护、责任和争议解决条款的效力。</w:t>
      </w:r>
    </w:p>
    <w:p>
      <w:pPr>
        <w:pStyle w:val="Heading2"/>
      </w:pPr>
      <w:r>
        <w:t>第十四条  退出、数据返还与删除</w:t>
      </w:r>
    </w:p>
    <w:p>
      <w:pPr>
        <w:keepNext w:val="0"/>
        <w:spacing w:before="0" w:after="60" w:line="300" w:lineRule="auto"/>
      </w:pPr>
      <w:r>
        <w:t>14.1 合同终止或到期不续约的，乙方应在终止日前向甲方提供数据导出，导出格式为 CSV、JSON 或双方约定的其他通用可读格式，并保留原始附件和必要的元数据。</w:t>
      </w:r>
    </w:p>
    <w:p>
      <w:pPr>
        <w:keepNext w:val="0"/>
        <w:spacing w:before="0" w:after="60" w:line="300" w:lineRule="auto"/>
      </w:pPr>
      <w:r>
        <w:t>14.2 数据导出窗口为终止之日起三十（30）日；过渡访问期为终止之日起六十（60）日，乙方应提供必要的迁移协助和技术支持。过渡期内的费用按订购单约定，未约定的按原月费按日计算。</w:t>
      </w:r>
    </w:p>
    <w:p>
      <w:pPr>
        <w:keepNext w:val="0"/>
        <w:spacing w:before="0" w:after="60" w:line="300" w:lineRule="auto"/>
      </w:pPr>
      <w:r>
        <w:t>14.3 甲方应在导出后核验数据完整性，包括记录数量、字段、附件、时间范围和校验值；发现缺失的，乙方应在十（10）个工作日内补正。</w:t>
      </w:r>
    </w:p>
    <w:p>
      <w:pPr>
        <w:keepNext w:val="0"/>
        <w:spacing w:before="0" w:after="60" w:line="300" w:lineRule="auto"/>
      </w:pPr>
      <w:r>
        <w:t>14.4 终止后仅在甲方有合法依据的书面指示下，为必要的数据返还、迁移提供过渡处理；不再必要时应立即返还或删除，不得将下列期限作为当然留存授权。导出和过渡期结束后三十（30）日内，乙方应完成在线系统、可合理访问的备份和衍生数据的删除，并提交证明。备份轮转导致无法立即删除的，应说明介质、轮转周期和最终删除日期，自过渡访问期结束之日起最长不超过九十（90）日；期间隔离保存，仅作必要安全存储，不再用于日常业务。</w:t>
      </w:r>
    </w:p>
    <w:p>
      <w:pPr>
        <w:keepNext w:val="0"/>
        <w:spacing w:before="0" w:after="60" w:line="300" w:lineRule="auto"/>
      </w:pPr>
      <w:r>
        <w:t>14.5 乙方因法律、监管或争议保全必须留存数据的，应隔离保存、限制访问、继续保密，并在保存义务结束后按第 14.4 条删除；不得将留存数据用于其他目的。</w:t>
      </w:r>
    </w:p>
    <w:p>
      <w:pPr>
        <w:keepNext w:val="0"/>
        <w:spacing w:before="0" w:after="60" w:line="300" w:lineRule="auto"/>
      </w:pPr>
      <w:r>
        <w:t>14.6 乙方应在终止后十（10）个工作日内回收日常业务账号、接口密钥及现场设备；仅按甲方书面指示保留迁移所需的最小只读权限，并在过渡结束时一并回收，提交回收记录。</w:t>
      </w:r>
    </w:p>
    <w:p>
      <w:pPr>
        <w:pStyle w:val="Heading2"/>
      </w:pPr>
      <w:r>
        <w:t>第十五条  通知</w:t>
      </w:r>
    </w:p>
    <w:p>
      <w:pPr>
        <w:keepNext w:val="0"/>
        <w:spacing w:before="0" w:after="60" w:line="300" w:lineRule="auto"/>
      </w:pPr>
      <w:r>
        <w:t>15.1 本合同项下通知应以书面形式发送至下列地址或双方另行书面指定的地址：</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268"/>
            <w:vAlign w:val="center"/>
            <w:tcMar>
              <w:top w:w="60" w:type="dxa"/>
              <w:start w:w="90" w:type="dxa"/>
              <w:bottom w:w="60" w:type="dxa"/>
              <w:end w:w="90" w:type="dxa"/>
            </w:tcMar>
            <w:shd w:fill="1F4E79"/>
          </w:tcPr>
          <w:p>
            <w:pPr>
              <w:spacing w:after="0"/>
              <w:jc w:val="center"/>
            </w:pPr>
            <w:r>
              <w:t>通知事项</w:t>
            </w:r>
          </w:p>
        </w:tc>
        <w:tc>
          <w:tcPr>
            <w:tcW w:type="dxa" w:w="3175"/>
            <w:vAlign w:val="center"/>
            <w:tcMar>
              <w:top w:w="60" w:type="dxa"/>
              <w:start w:w="90" w:type="dxa"/>
              <w:bottom w:w="60" w:type="dxa"/>
              <w:end w:w="90" w:type="dxa"/>
            </w:tcMar>
            <w:shd w:fill="1F4E79"/>
          </w:tcPr>
          <w:p>
            <w:pPr>
              <w:spacing w:after="0"/>
              <w:jc w:val="center"/>
            </w:pPr>
            <w:r>
              <w:t>甲方</w:t>
            </w:r>
          </w:p>
        </w:tc>
        <w:tc>
          <w:tcPr>
            <w:tcW w:type="dxa" w:w="3175"/>
            <w:vAlign w:val="center"/>
            <w:tcMar>
              <w:top w:w="60" w:type="dxa"/>
              <w:start w:w="90" w:type="dxa"/>
              <w:bottom w:w="60" w:type="dxa"/>
              <w:end w:w="90" w:type="dxa"/>
            </w:tcMar>
            <w:shd w:fill="1F4E79"/>
          </w:tcPr>
          <w:p>
            <w:pPr>
              <w:spacing w:after="0"/>
              <w:jc w:val="center"/>
            </w:pPr>
            <w:r>
              <w:t>乙方</w:t>
            </w:r>
          </w:p>
        </w:tc>
      </w:tr>
      <w:tr>
        <w:trPr>
          <w:cantSplit/>
        </w:trPr>
        <w:tc>
          <w:tcPr>
            <w:tcW w:type="dxa" w:w="2268"/>
            <w:vAlign w:val="center"/>
            <w:tcMar>
              <w:top w:w="60" w:type="dxa"/>
              <w:start w:w="90" w:type="dxa"/>
              <w:bottom w:w="60" w:type="dxa"/>
              <w:end w:w="90" w:type="dxa"/>
            </w:tcMar>
          </w:tcPr>
          <w:p>
            <w:pPr>
              <w:spacing w:after="0" w:line="276" w:lineRule="auto"/>
            </w:pPr>
            <w:r>
              <w:t>收件部门/岗位</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r>
        <w:trPr>
          <w:cantSplit/>
        </w:trPr>
        <w:tc>
          <w:tcPr>
            <w:tcW w:type="dxa" w:w="2268"/>
            <w:vAlign w:val="center"/>
            <w:tcMar>
              <w:top w:w="60" w:type="dxa"/>
              <w:start w:w="90" w:type="dxa"/>
              <w:bottom w:w="60" w:type="dxa"/>
              <w:end w:w="90" w:type="dxa"/>
            </w:tcMar>
          </w:tcPr>
          <w:p>
            <w:pPr>
              <w:spacing w:after="0" w:line="276" w:lineRule="auto"/>
            </w:pPr>
            <w:r>
              <w:t>电子邮箱</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r>
        <w:trPr>
          <w:cantSplit/>
        </w:trPr>
        <w:tc>
          <w:tcPr>
            <w:tcW w:type="dxa" w:w="2268"/>
            <w:vAlign w:val="center"/>
            <w:tcMar>
              <w:top w:w="60" w:type="dxa"/>
              <w:start w:w="90" w:type="dxa"/>
              <w:bottom w:w="60" w:type="dxa"/>
              <w:end w:w="90" w:type="dxa"/>
            </w:tcMar>
          </w:tcPr>
          <w:p>
            <w:pPr>
              <w:spacing w:after="0" w:line="276" w:lineRule="auto"/>
            </w:pPr>
            <w:r>
              <w:t>邮寄地址</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r>
        <w:trPr>
          <w:cantSplit/>
        </w:trPr>
        <w:tc>
          <w:tcPr>
            <w:tcW w:type="dxa" w:w="2268"/>
            <w:vAlign w:val="center"/>
            <w:tcMar>
              <w:top w:w="60" w:type="dxa"/>
              <w:start w:w="90" w:type="dxa"/>
              <w:bottom w:w="60" w:type="dxa"/>
              <w:end w:w="90" w:type="dxa"/>
            </w:tcMar>
          </w:tcPr>
          <w:p>
            <w:pPr>
              <w:spacing w:after="0" w:line="276" w:lineRule="auto"/>
            </w:pPr>
            <w:r>
              <w:t>联系人</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bl>
    <w:p>
      <w:pPr>
        <w:spacing w:after="60" w:line="300" w:lineRule="auto"/>
      </w:pPr>
      <w:r/>
    </w:p>
    <w:p>
      <w:pPr>
        <w:keepNext w:val="0"/>
        <w:spacing w:before="0" w:after="60" w:line="300" w:lineRule="auto"/>
      </w:pPr>
      <w:r>
        <w:t>15.2 通知在下列时间视为送达：（a）专人送达时签收；（b）快递送达时签收或拒收之日；（c）电子邮件进入指定系统时。法律禁止电子送达或双方另有约定的除外。</w:t>
      </w:r>
    </w:p>
    <w:p>
      <w:pPr>
        <w:keepNext w:val="0"/>
        <w:spacing w:before="0" w:after="60" w:line="300" w:lineRule="auto"/>
      </w:pPr>
      <w:r>
        <w:t>15.3 涉及数据泄露、暂停、解除、退出和争议的通知，应同时发送至双方书面指定的法务、安全和合同管理邮箱。</w:t>
      </w:r>
    </w:p>
    <w:p>
      <w:pPr>
        <w:pStyle w:val="Heading2"/>
      </w:pPr>
      <w:r>
        <w:t>第十六条  适用法律与争议解决</w:t>
      </w:r>
    </w:p>
    <w:p>
      <w:pPr>
        <w:keepNext w:val="0"/>
        <w:spacing w:before="0" w:after="60" w:line="300" w:lineRule="auto"/>
      </w:pPr>
      <w:r>
        <w:t>16.1 本合同的订立、效力、解释、履行和争议解决适用中华人民共和国法律（为本合同之目的，不包括香港特别行政区、澳门特别行政区和台湾地区法律）。</w:t>
      </w:r>
    </w:p>
    <w:p>
      <w:pPr>
        <w:keepNext w:val="0"/>
        <w:spacing w:before="0" w:after="60" w:line="300" w:lineRule="auto"/>
      </w:pPr>
      <w:r>
        <w:t>16.2 因本合同引起的或与本合同有关的争议，双方应先行友好协商；协商不成的，提交【填写甲方所在地/乙方所在地/合同履行地】有管辖权的人民法院诉讼解决。</w:t>
      </w:r>
    </w:p>
    <w:p>
      <w:pPr>
        <w:keepNext w:val="0"/>
        <w:spacing w:before="0" w:after="60" w:line="300" w:lineRule="auto"/>
      </w:pPr>
      <w:r>
        <w:t>16.3 双方确认所选地点与本合同争议具有实际联系；本条不排除法律规定的级别管辖和专属管辖。涉及境外主体、境外法院或仲裁的，不属于本模板覆盖范围，应转专项审查。</w:t>
      </w:r>
    </w:p>
    <w:p>
      <w:pPr>
        <w:pStyle w:val="Heading2"/>
      </w:pPr>
      <w:r>
        <w:t>第十七条  一般条款</w:t>
      </w:r>
    </w:p>
    <w:p>
      <w:pPr>
        <w:keepNext w:val="0"/>
        <w:spacing w:before="0" w:after="60" w:line="300" w:lineRule="auto"/>
      </w:pPr>
      <w:r>
        <w:t>17.1 本合同构成双方就 SaaS 采购事项的完整约定，取代此前就同一事项作出的口头或书面陈述；但双方另有明确书面约定的除外。</w:t>
      </w:r>
    </w:p>
    <w:p>
      <w:pPr>
        <w:keepNext w:val="0"/>
        <w:spacing w:before="0" w:after="60" w:line="300" w:lineRule="auto"/>
      </w:pPr>
      <w:r>
        <w:t>17.2 对本合同的任何修改、补充，应由双方授权代表签署书面文件后生效。邮件、会议纪要、即时通讯记录不当然构成修改，除非双方随后签署书面文件确认。</w:t>
      </w:r>
    </w:p>
    <w:p>
      <w:pPr>
        <w:keepNext w:val="0"/>
        <w:spacing w:before="0" w:after="60" w:line="300" w:lineRule="auto"/>
      </w:pPr>
      <w:r>
        <w:t>17.3 本合同任何条款被认定无效或不可执行，不影响其他条款的效力；双方应以最接近原条款目的的有效条款替代。</w:t>
      </w:r>
    </w:p>
    <w:p>
      <w:pPr>
        <w:keepNext w:val="0"/>
        <w:spacing w:before="0" w:after="60" w:line="300" w:lineRule="auto"/>
      </w:pPr>
      <w:r>
        <w:t>17.4 本合同一式两份，双方各执一份，具有同等效力。默认采用可靠电子签名或纸质签署；采用电子签名时，应保存可验证的原始文件、身份与授权、完整性和签署过程证据。</w:t>
      </w:r>
    </w:p>
    <w:p>
      <w:pPr>
        <w:keepNext w:val="0"/>
        <w:spacing w:before="0" w:after="60" w:line="300" w:lineRule="auto"/>
      </w:pPr>
      <w:r>
        <w:t>17.5 本合同以中文书写。如存在其他语言译本，仅供理解，中文版本为准，双方另有明确约定的除外。</w:t>
      </w:r>
    </w:p>
    <w:p>
      <w:pPr>
        <w:keepNext w:val="0"/>
        <w:spacing w:before="0" w:after="60" w:line="300" w:lineRule="auto"/>
      </w:pPr>
      <w:r>
        <w:t>17.6 双方确认已阅读并理解本合同全部条款，特别是第 3、5、7、12、13、14、16 条；双方有机会就上述条款提问并获得说明。</w:t>
      </w:r>
    </w:p>
    <w:p>
      <w:pPr>
        <w:spacing w:after="60" w:line="300" w:lineRule="auto"/>
      </w:pPr>
      <w:r/>
    </w:p>
    <w:p>
      <w:pPr>
        <w:pStyle w:val="Heading1"/>
      </w:pPr>
      <w:r>
        <w:t>附件一  订购单（Order Form）</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381"/>
            <w:vAlign w:val="center"/>
            <w:tcMar>
              <w:top w:w="60" w:type="dxa"/>
              <w:start w:w="90" w:type="dxa"/>
              <w:bottom w:w="60" w:type="dxa"/>
              <w:end w:w="90" w:type="dxa"/>
            </w:tcMar>
            <w:shd w:fill="1F4E79"/>
          </w:tcPr>
          <w:p>
            <w:pPr>
              <w:spacing w:after="0"/>
              <w:jc w:val="center"/>
            </w:pPr>
            <w:r>
              <w:t>项目</w:t>
            </w:r>
          </w:p>
        </w:tc>
        <w:tc>
          <w:tcPr>
            <w:tcW w:type="dxa" w:w="6123"/>
            <w:vAlign w:val="center"/>
            <w:tcMar>
              <w:top w:w="60" w:type="dxa"/>
              <w:start w:w="90" w:type="dxa"/>
              <w:bottom w:w="60" w:type="dxa"/>
              <w:end w:w="90" w:type="dxa"/>
            </w:tcMar>
            <w:shd w:fill="1F4E79"/>
          </w:tcPr>
          <w:p>
            <w:pPr>
              <w:spacing w:after="0"/>
              <w:jc w:val="center"/>
            </w:pPr>
            <w:r>
              <w:t>内容</w:t>
            </w:r>
          </w:p>
        </w:tc>
      </w:tr>
      <w:tr>
        <w:trPr>
          <w:cantSplit/>
        </w:trPr>
        <w:tc>
          <w:tcPr>
            <w:tcW w:type="dxa" w:w="2381"/>
            <w:vAlign w:val="center"/>
            <w:tcMar>
              <w:top w:w="60" w:type="dxa"/>
              <w:start w:w="90" w:type="dxa"/>
              <w:bottom w:w="60" w:type="dxa"/>
              <w:end w:w="90" w:type="dxa"/>
            </w:tcMar>
          </w:tcPr>
          <w:p>
            <w:pPr>
              <w:spacing w:after="0" w:line="276" w:lineRule="auto"/>
            </w:pPr>
            <w:r>
              <w:t>订购单编号/版本</w:t>
            </w:r>
          </w:p>
        </w:tc>
        <w:tc>
          <w:tcPr>
            <w:tcW w:type="dxa" w:w="6123"/>
            <w:vAlign w:val="center"/>
            <w:tcMar>
              <w:top w:w="60" w:type="dxa"/>
              <w:start w:w="90" w:type="dxa"/>
              <w:bottom w:w="60" w:type="dxa"/>
              <w:end w:w="90" w:type="dxa"/>
            </w:tcMar>
          </w:tcPr>
          <w:p>
            <w:pPr>
              <w:spacing w:after="0" w:line="276" w:lineRule="auto"/>
            </w:pPr>
            <w:r>
              <w:t>【填写】 / 【v1.1】</w:t>
            </w:r>
          </w:p>
        </w:tc>
      </w:tr>
      <w:tr>
        <w:trPr>
          <w:cantSplit/>
        </w:trPr>
        <w:tc>
          <w:tcPr>
            <w:tcW w:type="dxa" w:w="2381"/>
            <w:vAlign w:val="center"/>
            <w:tcMar>
              <w:top w:w="60" w:type="dxa"/>
              <w:start w:w="90" w:type="dxa"/>
              <w:bottom w:w="60" w:type="dxa"/>
              <w:end w:w="90" w:type="dxa"/>
            </w:tcMar>
          </w:tcPr>
          <w:p>
            <w:pPr>
              <w:spacing w:after="0" w:line="276" w:lineRule="auto"/>
            </w:pPr>
            <w:r>
              <w:t>关联合同编号</w:t>
            </w:r>
          </w:p>
        </w:tc>
        <w:tc>
          <w:tcPr>
            <w:tcW w:type="dxa" w:w="6123"/>
            <w:vAlign w:val="center"/>
            <w:tcMar>
              <w:top w:w="60" w:type="dxa"/>
              <w:start w:w="90" w:type="dxa"/>
              <w:bottom w:w="60" w:type="dxa"/>
              <w:end w:w="90" w:type="dxa"/>
            </w:tcMar>
          </w:tcPr>
          <w:p>
            <w:pPr>
              <w:spacing w:after="0" w:line="276" w:lineRule="auto"/>
            </w:pPr>
            <w:r>
              <w:t>【填写】</w:t>
            </w:r>
          </w:p>
        </w:tc>
      </w:tr>
      <w:tr>
        <w:trPr>
          <w:cantSplit/>
        </w:trPr>
        <w:tc>
          <w:tcPr>
            <w:tcW w:type="dxa" w:w="2381"/>
            <w:vAlign w:val="center"/>
            <w:tcMar>
              <w:top w:w="60" w:type="dxa"/>
              <w:start w:w="90" w:type="dxa"/>
              <w:bottom w:w="60" w:type="dxa"/>
              <w:end w:w="90" w:type="dxa"/>
            </w:tcMar>
          </w:tcPr>
          <w:p>
            <w:pPr>
              <w:spacing w:after="0" w:line="276" w:lineRule="auto"/>
            </w:pPr>
            <w:r>
              <w:t>产品及版本</w:t>
            </w:r>
          </w:p>
        </w:tc>
        <w:tc>
          <w:tcPr>
            <w:tcW w:type="dxa" w:w="6123"/>
            <w:vAlign w:val="center"/>
            <w:tcMar>
              <w:top w:w="60" w:type="dxa"/>
              <w:start w:w="90" w:type="dxa"/>
              <w:bottom w:w="60" w:type="dxa"/>
              <w:end w:w="90" w:type="dxa"/>
            </w:tcMar>
          </w:tcPr>
          <w:p>
            <w:pPr>
              <w:spacing w:after="0" w:line="276" w:lineRule="auto"/>
            </w:pPr>
            <w:r>
              <w:t>【产品名称、版本、模块】</w:t>
            </w:r>
          </w:p>
        </w:tc>
      </w:tr>
      <w:tr>
        <w:trPr>
          <w:cantSplit/>
        </w:trPr>
        <w:tc>
          <w:tcPr>
            <w:tcW w:type="dxa" w:w="2381"/>
            <w:vAlign w:val="center"/>
            <w:tcMar>
              <w:top w:w="60" w:type="dxa"/>
              <w:start w:w="90" w:type="dxa"/>
              <w:bottom w:w="60" w:type="dxa"/>
              <w:end w:w="90" w:type="dxa"/>
            </w:tcMar>
          </w:tcPr>
          <w:p>
            <w:pPr>
              <w:spacing w:after="0" w:line="276" w:lineRule="auto"/>
            </w:pPr>
            <w:r>
              <w:t>订阅起止</w:t>
            </w:r>
          </w:p>
        </w:tc>
        <w:tc>
          <w:tcPr>
            <w:tcW w:type="dxa" w:w="6123"/>
            <w:vAlign w:val="center"/>
            <w:tcMar>
              <w:top w:w="60" w:type="dxa"/>
              <w:start w:w="90" w:type="dxa"/>
              <w:bottom w:w="60" w:type="dxa"/>
              <w:end w:w="90" w:type="dxa"/>
            </w:tcMar>
          </w:tcPr>
          <w:p>
            <w:pPr>
              <w:spacing w:after="0" w:line="276" w:lineRule="auto"/>
            </w:pPr>
            <w:r>
              <w:t>【起始日期】至【结束日期】（【12】个月）</w:t>
            </w:r>
          </w:p>
        </w:tc>
      </w:tr>
      <w:tr>
        <w:trPr>
          <w:cantSplit/>
        </w:trPr>
        <w:tc>
          <w:tcPr>
            <w:tcW w:type="dxa" w:w="2381"/>
            <w:vAlign w:val="center"/>
            <w:tcMar>
              <w:top w:w="60" w:type="dxa"/>
              <w:start w:w="90" w:type="dxa"/>
              <w:bottom w:w="60" w:type="dxa"/>
              <w:end w:w="90" w:type="dxa"/>
            </w:tcMar>
          </w:tcPr>
          <w:p>
            <w:pPr>
              <w:spacing w:after="0" w:line="276" w:lineRule="auto"/>
            </w:pPr>
            <w:r>
              <w:t>账号数量/类型</w:t>
            </w:r>
          </w:p>
        </w:tc>
        <w:tc>
          <w:tcPr>
            <w:tcW w:type="dxa" w:w="6123"/>
            <w:vAlign w:val="center"/>
            <w:tcMar>
              <w:top w:w="60" w:type="dxa"/>
              <w:start w:w="90" w:type="dxa"/>
              <w:bottom w:w="60" w:type="dxa"/>
              <w:end w:w="90" w:type="dxa"/>
            </w:tcMar>
          </w:tcPr>
          <w:p>
            <w:pPr>
              <w:spacing w:after="0" w:line="276" w:lineRule="auto"/>
            </w:pPr>
            <w:r>
              <w:t>【80】个【标准账号】；【管理员账号另计/不另计】</w:t>
            </w:r>
          </w:p>
        </w:tc>
      </w:tr>
      <w:tr>
        <w:trPr>
          <w:cantSplit/>
        </w:trPr>
        <w:tc>
          <w:tcPr>
            <w:tcW w:type="dxa" w:w="2381"/>
            <w:vAlign w:val="center"/>
            <w:tcMar>
              <w:top w:w="60" w:type="dxa"/>
              <w:start w:w="90" w:type="dxa"/>
              <w:bottom w:w="60" w:type="dxa"/>
              <w:end w:w="90" w:type="dxa"/>
            </w:tcMar>
          </w:tcPr>
          <w:p>
            <w:pPr>
              <w:spacing w:after="0" w:line="276" w:lineRule="auto"/>
            </w:pPr>
            <w:r>
              <w:t>计费单位</w:t>
            </w:r>
          </w:p>
        </w:tc>
        <w:tc>
          <w:tcPr>
            <w:tcW w:type="dxa" w:w="6123"/>
            <w:vAlign w:val="center"/>
            <w:tcMar>
              <w:top w:w="60" w:type="dxa"/>
              <w:start w:w="90" w:type="dxa"/>
              <w:bottom w:w="60" w:type="dxa"/>
              <w:end w:w="90" w:type="dxa"/>
            </w:tcMar>
          </w:tcPr>
          <w:p>
            <w:pPr>
              <w:spacing w:after="0" w:line="276" w:lineRule="auto"/>
            </w:pPr>
            <w:r>
              <w:t>【账号/月；存储/GB/月；API 调用/千次】</w:t>
            </w:r>
          </w:p>
        </w:tc>
      </w:tr>
      <w:tr>
        <w:trPr>
          <w:cantSplit/>
        </w:trPr>
        <w:tc>
          <w:tcPr>
            <w:tcW w:type="dxa" w:w="2381"/>
            <w:vAlign w:val="center"/>
            <w:tcMar>
              <w:top w:w="60" w:type="dxa"/>
              <w:start w:w="90" w:type="dxa"/>
              <w:bottom w:w="60" w:type="dxa"/>
              <w:end w:w="90" w:type="dxa"/>
            </w:tcMar>
          </w:tcPr>
          <w:p>
            <w:pPr>
              <w:spacing w:after="0" w:line="276" w:lineRule="auto"/>
            </w:pPr>
            <w:r>
              <w:t>单价</w:t>
            </w:r>
          </w:p>
        </w:tc>
        <w:tc>
          <w:tcPr>
            <w:tcW w:type="dxa" w:w="6123"/>
            <w:vAlign w:val="center"/>
            <w:tcMar>
              <w:top w:w="60" w:type="dxa"/>
              <w:start w:w="90" w:type="dxa"/>
              <w:bottom w:w="60" w:type="dxa"/>
              <w:end w:w="90" w:type="dxa"/>
            </w:tcMar>
          </w:tcPr>
          <w:p>
            <w:pPr>
              <w:spacing w:after="0" w:line="276" w:lineRule="auto"/>
            </w:pPr>
            <w:r>
              <w:t>【100】元/账号/月（含税/不含税：【填写】）</w:t>
            </w:r>
          </w:p>
        </w:tc>
      </w:tr>
      <w:tr>
        <w:trPr>
          <w:cantSplit/>
        </w:trPr>
        <w:tc>
          <w:tcPr>
            <w:tcW w:type="dxa" w:w="2381"/>
            <w:vAlign w:val="center"/>
            <w:tcMar>
              <w:top w:w="60" w:type="dxa"/>
              <w:start w:w="90" w:type="dxa"/>
              <w:bottom w:w="60" w:type="dxa"/>
              <w:end w:w="90" w:type="dxa"/>
            </w:tcMar>
          </w:tcPr>
          <w:p>
            <w:pPr>
              <w:spacing w:after="0" w:line="276" w:lineRule="auto"/>
            </w:pPr>
            <w:r>
              <w:t>年度总费用</w:t>
            </w:r>
          </w:p>
        </w:tc>
        <w:tc>
          <w:tcPr>
            <w:tcW w:type="dxa" w:w="6123"/>
            <w:vAlign w:val="center"/>
            <w:tcMar>
              <w:top w:w="60" w:type="dxa"/>
              <w:start w:w="90" w:type="dxa"/>
              <w:bottom w:w="60" w:type="dxa"/>
              <w:end w:w="90" w:type="dxa"/>
            </w:tcMar>
          </w:tcPr>
          <w:p>
            <w:pPr>
              <w:spacing w:after="0" w:line="276" w:lineRule="auto"/>
            </w:pPr>
            <w:r>
              <w:t>【96,000】元（大写：【玖万陆仟元整】）</w:t>
            </w:r>
          </w:p>
        </w:tc>
      </w:tr>
      <w:tr>
        <w:trPr>
          <w:cantSplit/>
        </w:trPr>
        <w:tc>
          <w:tcPr>
            <w:tcW w:type="dxa" w:w="2381"/>
            <w:vAlign w:val="center"/>
            <w:tcMar>
              <w:top w:w="60" w:type="dxa"/>
              <w:start w:w="90" w:type="dxa"/>
              <w:bottom w:w="60" w:type="dxa"/>
              <w:end w:w="90" w:type="dxa"/>
            </w:tcMar>
          </w:tcPr>
          <w:p>
            <w:pPr>
              <w:spacing w:after="0" w:line="276" w:lineRule="auto"/>
            </w:pPr>
            <w:r>
              <w:t>付款计划</w:t>
            </w:r>
          </w:p>
        </w:tc>
        <w:tc>
          <w:tcPr>
            <w:tcW w:type="dxa" w:w="6123"/>
            <w:vAlign w:val="center"/>
            <w:tcMar>
              <w:top w:w="60" w:type="dxa"/>
              <w:start w:w="90" w:type="dxa"/>
              <w:bottom w:w="60" w:type="dxa"/>
              <w:end w:w="90" w:type="dxa"/>
            </w:tcMar>
          </w:tcPr>
          <w:p>
            <w:r>
              <w:t>【每期比例、金额、到期日、条件；比例合计100%，金额合计总费用；默认30%/70%，采用50%/50%须选SAAS-02备选】</w:t>
            </w:r>
          </w:p>
        </w:tc>
      </w:tr>
      <w:tr>
        <w:trPr>
          <w:cantSplit/>
        </w:trPr>
        <w:tc>
          <w:tcPr>
            <w:tcW w:type="dxa" w:w="2381"/>
            <w:vAlign w:val="center"/>
            <w:tcMar>
              <w:top w:w="60" w:type="dxa"/>
              <w:start w:w="90" w:type="dxa"/>
              <w:bottom w:w="60" w:type="dxa"/>
              <w:end w:w="90" w:type="dxa"/>
            </w:tcMar>
          </w:tcPr>
          <w:p>
            <w:pPr>
              <w:spacing w:after="0" w:line="276" w:lineRule="auto"/>
            </w:pPr>
            <w:r>
              <w:t>包含服务</w:t>
            </w:r>
          </w:p>
        </w:tc>
        <w:tc>
          <w:tcPr>
            <w:tcW w:type="dxa" w:w="6123"/>
            <w:vAlign w:val="center"/>
            <w:tcMar>
              <w:top w:w="60" w:type="dxa"/>
              <w:start w:w="90" w:type="dxa"/>
              <w:bottom w:w="60" w:type="dxa"/>
              <w:end w:w="90" w:type="dxa"/>
            </w:tcMar>
          </w:tcPr>
          <w:p>
            <w:pPr>
              <w:spacing w:after="0" w:line="276" w:lineRule="auto"/>
            </w:pPr>
            <w:r>
              <w:t>【标准支持、版本升级、安全补丁、API、存储额度】</w:t>
            </w:r>
          </w:p>
        </w:tc>
      </w:tr>
      <w:tr>
        <w:trPr>
          <w:cantSplit/>
        </w:trPr>
        <w:tc>
          <w:tcPr>
            <w:tcW w:type="dxa" w:w="2381"/>
            <w:vAlign w:val="center"/>
            <w:tcMar>
              <w:top w:w="60" w:type="dxa"/>
              <w:start w:w="90" w:type="dxa"/>
              <w:bottom w:w="60" w:type="dxa"/>
              <w:end w:w="90" w:type="dxa"/>
            </w:tcMar>
          </w:tcPr>
          <w:p>
            <w:pPr>
              <w:spacing w:after="0" w:line="276" w:lineRule="auto"/>
            </w:pPr>
            <w:r>
              <w:t>排除项</w:t>
            </w:r>
          </w:p>
        </w:tc>
        <w:tc>
          <w:tcPr>
            <w:tcW w:type="dxa" w:w="6123"/>
            <w:vAlign w:val="center"/>
            <w:tcMar>
              <w:top w:w="60" w:type="dxa"/>
              <w:start w:w="90" w:type="dxa"/>
              <w:bottom w:w="60" w:type="dxa"/>
              <w:end w:w="90" w:type="dxa"/>
            </w:tcMar>
          </w:tcPr>
          <w:p>
            <w:pPr>
              <w:spacing w:after="0" w:line="276" w:lineRule="auto"/>
            </w:pPr>
            <w:r>
              <w:t>【定制开发、私有化部署、源代码、跨境访问、敏感个人信息】</w:t>
            </w:r>
          </w:p>
        </w:tc>
      </w:tr>
      <w:tr>
        <w:trPr>
          <w:cantSplit/>
        </w:trPr>
        <w:tc>
          <w:tcPr>
            <w:tcW w:type="dxa" w:w="2381"/>
            <w:vAlign w:val="center"/>
            <w:tcMar>
              <w:top w:w="60" w:type="dxa"/>
              <w:start w:w="90" w:type="dxa"/>
              <w:bottom w:w="60" w:type="dxa"/>
              <w:end w:w="90" w:type="dxa"/>
            </w:tcMar>
          </w:tcPr>
          <w:p>
            <w:pPr>
              <w:spacing w:after="0" w:line="276" w:lineRule="auto"/>
            </w:pPr>
            <w:r>
              <w:t>SLA</w:t>
            </w:r>
          </w:p>
        </w:tc>
        <w:tc>
          <w:tcPr>
            <w:tcW w:type="dxa" w:w="6123"/>
            <w:vAlign w:val="center"/>
            <w:tcMar>
              <w:top w:w="60" w:type="dxa"/>
              <w:start w:w="90" w:type="dxa"/>
              <w:bottom w:w="60" w:type="dxa"/>
              <w:end w:w="90" w:type="dxa"/>
            </w:tcMar>
          </w:tcPr>
          <w:p>
            <w:pPr>
              <w:spacing w:after="0" w:line="276" w:lineRule="auto"/>
            </w:pPr>
            <w:r>
              <w:t>附件三；月度可用性 99.9%；支持级别【标准】</w:t>
            </w:r>
          </w:p>
        </w:tc>
      </w:tr>
      <w:tr>
        <w:trPr>
          <w:cantSplit/>
        </w:trPr>
        <w:tc>
          <w:tcPr>
            <w:tcW w:type="dxa" w:w="2381"/>
            <w:vAlign w:val="center"/>
            <w:tcMar>
              <w:top w:w="60" w:type="dxa"/>
              <w:start w:w="90" w:type="dxa"/>
              <w:bottom w:w="60" w:type="dxa"/>
              <w:end w:w="90" w:type="dxa"/>
            </w:tcMar>
          </w:tcPr>
          <w:p>
            <w:pPr>
              <w:spacing w:after="0" w:line="276" w:lineRule="auto"/>
            </w:pPr>
            <w:r>
              <w:t>数据位置</w:t>
            </w:r>
          </w:p>
        </w:tc>
        <w:tc>
          <w:tcPr>
            <w:tcW w:type="dxa" w:w="6123"/>
            <w:vAlign w:val="center"/>
            <w:tcMar>
              <w:top w:w="60" w:type="dxa"/>
              <w:start w:w="90" w:type="dxa"/>
              <w:bottom w:w="60" w:type="dxa"/>
              <w:end w:w="90" w:type="dxa"/>
            </w:tcMar>
          </w:tcPr>
          <w:p>
            <w:pPr>
              <w:spacing w:after="0" w:line="276" w:lineRule="auto"/>
            </w:pPr>
            <w:r>
              <w:t>【中华人民共和国境内】【具体区域】</w:t>
            </w:r>
          </w:p>
        </w:tc>
      </w:tr>
      <w:tr>
        <w:trPr>
          <w:cantSplit/>
        </w:trPr>
        <w:tc>
          <w:tcPr>
            <w:tcW w:type="dxa" w:w="2381"/>
            <w:vAlign w:val="center"/>
            <w:tcMar>
              <w:top w:w="60" w:type="dxa"/>
              <w:start w:w="90" w:type="dxa"/>
              <w:bottom w:w="60" w:type="dxa"/>
              <w:end w:w="90" w:type="dxa"/>
            </w:tcMar>
          </w:tcPr>
          <w:p>
            <w:pPr>
              <w:spacing w:after="0" w:line="276" w:lineRule="auto"/>
            </w:pPr>
            <w:r>
              <w:t>续约通知期限</w:t>
            </w:r>
          </w:p>
        </w:tc>
        <w:tc>
          <w:tcPr>
            <w:tcW w:type="dxa" w:w="6123"/>
            <w:vAlign w:val="center"/>
            <w:tcMar>
              <w:top w:w="60" w:type="dxa"/>
              <w:start w:w="90" w:type="dxa"/>
              <w:bottom w:w="60" w:type="dxa"/>
              <w:end w:w="90" w:type="dxa"/>
            </w:tcMar>
          </w:tcPr>
          <w:p>
            <w:pPr>
              <w:spacing w:after="0" w:line="276" w:lineRule="auto"/>
            </w:pPr>
            <w:r>
              <w:t>到期前【60】日</w:t>
            </w:r>
          </w:p>
        </w:tc>
      </w:tr>
      <w:tr>
        <w:trPr>
          <w:cantSplit/>
        </w:trPr>
        <w:tc>
          <w:tcPr>
            <w:tcW w:type="dxa" w:w="2381"/>
            <w:vAlign w:val="center"/>
            <w:tcMar>
              <w:top w:w="60" w:type="dxa"/>
              <w:start w:w="90" w:type="dxa"/>
              <w:bottom w:w="60" w:type="dxa"/>
              <w:end w:w="90" w:type="dxa"/>
            </w:tcMar>
          </w:tcPr>
          <w:p>
            <w:pPr>
              <w:spacing w:after="0" w:line="276" w:lineRule="auto"/>
            </w:pPr>
            <w:r>
              <w:t>续约价格上限</w:t>
            </w:r>
          </w:p>
        </w:tc>
        <w:tc>
          <w:tcPr>
            <w:tcW w:type="dxa" w:w="6123"/>
            <w:vAlign w:val="center"/>
            <w:tcMar>
              <w:top w:w="60" w:type="dxa"/>
              <w:start w:w="90" w:type="dxa"/>
              <w:bottom w:w="60" w:type="dxa"/>
              <w:end w:w="90" w:type="dxa"/>
            </w:tcMar>
          </w:tcPr>
          <w:p>
            <w:pPr>
              <w:spacing w:after="0" w:line="276" w:lineRule="auto"/>
            </w:pPr>
            <w:r>
              <w:t>上一订阅期同规格单价的【5%】</w:t>
            </w:r>
          </w:p>
        </w:tc>
      </w:tr>
      <w:tr>
        <w:trPr>
          <w:cantSplit/>
        </w:trPr>
        <w:tc>
          <w:tcPr>
            <w:tcW w:type="dxa" w:w="2381"/>
            <w:vAlign w:val="center"/>
            <w:tcMar>
              <w:top w:w="60" w:type="dxa"/>
              <w:start w:w="90" w:type="dxa"/>
              <w:bottom w:w="60" w:type="dxa"/>
              <w:end w:w="90" w:type="dxa"/>
            </w:tcMar>
          </w:tcPr>
          <w:p>
            <w:pPr>
              <w:spacing w:after="0" w:line="276" w:lineRule="auto"/>
            </w:pPr>
            <w:r>
              <w:t>其他特别条款</w:t>
            </w:r>
          </w:p>
        </w:tc>
        <w:tc>
          <w:tcPr>
            <w:tcW w:type="dxa" w:w="6123"/>
            <w:vAlign w:val="center"/>
            <w:tcMar>
              <w:top w:w="60" w:type="dxa"/>
              <w:start w:w="90" w:type="dxa"/>
              <w:bottom w:w="60" w:type="dxa"/>
              <w:end w:w="90" w:type="dxa"/>
            </w:tcMar>
          </w:tcPr>
          <w:p>
            <w:pPr>
              <w:spacing w:after="0" w:line="276" w:lineRule="auto"/>
            </w:pPr>
            <w:r>
              <w:t>【填写；无则写“无”】</w:t>
            </w:r>
          </w:p>
        </w:tc>
      </w:tr>
    </w:tbl>
    <w:p>
      <w:pPr>
        <w:spacing w:after="60" w:line="300" w:lineRule="auto"/>
      </w:pPr>
      <w:r/>
    </w:p>
    <w:p>
      <w:pPr>
        <w:keepNext w:val="0"/>
        <w:spacing w:before="0" w:after="60" w:line="300" w:lineRule="auto"/>
      </w:pPr>
      <w:r>
        <w:t>双方确认：订购单数量、单价、总费用和付款计划应能相互核算；空白项不得留空签署，不适用项写“不适用”。</w:t>
      </w:r>
    </w:p>
    <w:p>
      <w:pPr>
        <w:spacing w:after="60" w:line="300" w:lineRule="auto"/>
      </w:pPr>
      <w:r/>
    </w:p>
    <w:p>
      <w:pPr>
        <w:pStyle w:val="Heading1"/>
      </w:pPr>
      <w:r>
        <w:t>附件二  开通核验单</w:t>
      </w:r>
    </w:p>
    <w:p>
      <w:pPr>
        <w:keepNext w:val="0"/>
        <w:spacing w:before="0" w:after="60" w:line="300" w:lineRule="auto"/>
      </w:pPr>
      <w:r>
        <w:t>开通确认仅表示甲方可以开始使用服务，不替代持续 SLA、缺陷修复、数据保护义务或后续验收。</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551"/>
            <w:vAlign w:val="center"/>
            <w:tcMar>
              <w:top w:w="60" w:type="dxa"/>
              <w:start w:w="90" w:type="dxa"/>
              <w:bottom w:w="60" w:type="dxa"/>
              <w:end w:w="90" w:type="dxa"/>
            </w:tcMar>
            <w:shd w:fill="1F4E79"/>
          </w:tcPr>
          <w:p>
            <w:pPr>
              <w:spacing w:after="0"/>
              <w:jc w:val="center"/>
            </w:pPr>
            <w:r>
              <w:t>项目</w:t>
            </w:r>
          </w:p>
        </w:tc>
        <w:tc>
          <w:tcPr>
            <w:tcW w:type="dxa" w:w="5953"/>
            <w:vAlign w:val="center"/>
            <w:tcMar>
              <w:top w:w="60" w:type="dxa"/>
              <w:start w:w="90" w:type="dxa"/>
              <w:bottom w:w="60" w:type="dxa"/>
              <w:end w:w="90" w:type="dxa"/>
            </w:tcMar>
            <w:shd w:fill="1F4E79"/>
          </w:tcPr>
          <w:p>
            <w:pPr>
              <w:spacing w:after="0"/>
              <w:jc w:val="center"/>
            </w:pPr>
            <w:r>
              <w:t>内容</w:t>
            </w:r>
          </w:p>
        </w:tc>
      </w:tr>
      <w:tr>
        <w:trPr>
          <w:cantSplit/>
        </w:trPr>
        <w:tc>
          <w:tcPr>
            <w:tcW w:type="dxa" w:w="2551"/>
            <w:vAlign w:val="center"/>
            <w:tcMar>
              <w:top w:w="60" w:type="dxa"/>
              <w:start w:w="90" w:type="dxa"/>
              <w:bottom w:w="60" w:type="dxa"/>
              <w:end w:w="90" w:type="dxa"/>
            </w:tcMar>
          </w:tcPr>
          <w:p>
            <w:pPr>
              <w:spacing w:after="0" w:line="276" w:lineRule="auto"/>
            </w:pPr>
            <w:r>
              <w:t>核验单编号</w:t>
            </w:r>
          </w:p>
        </w:tc>
        <w:tc>
          <w:tcPr>
            <w:tcW w:type="dxa" w:w="5953"/>
            <w:vAlign w:val="center"/>
            <w:tcMar>
              <w:top w:w="60" w:type="dxa"/>
              <w:start w:w="90" w:type="dxa"/>
              <w:bottom w:w="60" w:type="dxa"/>
              <w:end w:w="90" w:type="dxa"/>
            </w:tcMar>
          </w:tcPr>
          <w:p>
            <w:pPr>
              <w:spacing w:after="0" w:line="276" w:lineRule="auto"/>
            </w:pPr>
            <w:r>
              <w:t>【填写】</w:t>
            </w:r>
          </w:p>
        </w:tc>
      </w:tr>
      <w:tr>
        <w:trPr>
          <w:cantSplit/>
        </w:trPr>
        <w:tc>
          <w:tcPr>
            <w:tcW w:type="dxa" w:w="2551"/>
            <w:vAlign w:val="center"/>
            <w:tcMar>
              <w:top w:w="60" w:type="dxa"/>
              <w:start w:w="90" w:type="dxa"/>
              <w:bottom w:w="60" w:type="dxa"/>
              <w:end w:w="90" w:type="dxa"/>
            </w:tcMar>
          </w:tcPr>
          <w:p>
            <w:pPr>
              <w:spacing w:after="0" w:line="276" w:lineRule="auto"/>
            </w:pPr>
            <w:r>
              <w:t>合同编号/订购单编号</w:t>
            </w:r>
          </w:p>
        </w:tc>
        <w:tc>
          <w:tcPr>
            <w:tcW w:type="dxa" w:w="5953"/>
            <w:vAlign w:val="center"/>
            <w:tcMar>
              <w:top w:w="60" w:type="dxa"/>
              <w:start w:w="90" w:type="dxa"/>
              <w:bottom w:w="60" w:type="dxa"/>
              <w:end w:w="90" w:type="dxa"/>
            </w:tcMar>
          </w:tcPr>
          <w:p>
            <w:pPr>
              <w:spacing w:after="0" w:line="276" w:lineRule="auto"/>
            </w:pPr>
            <w:r>
              <w:t>【填写】 / 【填写】</w:t>
            </w:r>
          </w:p>
        </w:tc>
      </w:tr>
      <w:tr>
        <w:trPr>
          <w:cantSplit/>
        </w:trPr>
        <w:tc>
          <w:tcPr>
            <w:tcW w:type="dxa" w:w="2551"/>
            <w:vAlign w:val="center"/>
            <w:tcMar>
              <w:top w:w="60" w:type="dxa"/>
              <w:start w:w="90" w:type="dxa"/>
              <w:bottom w:w="60" w:type="dxa"/>
              <w:end w:w="90" w:type="dxa"/>
            </w:tcMar>
          </w:tcPr>
          <w:p>
            <w:pPr>
              <w:spacing w:after="0" w:line="276" w:lineRule="auto"/>
            </w:pPr>
            <w:r>
              <w:t>租户标识/访问地址</w:t>
            </w:r>
          </w:p>
        </w:tc>
        <w:tc>
          <w:tcPr>
            <w:tcW w:type="dxa" w:w="5953"/>
            <w:vAlign w:val="center"/>
            <w:tcMar>
              <w:top w:w="60" w:type="dxa"/>
              <w:start w:w="90" w:type="dxa"/>
              <w:bottom w:w="60" w:type="dxa"/>
              <w:end w:w="90" w:type="dxa"/>
            </w:tcMar>
          </w:tcPr>
          <w:p>
            <w:pPr>
              <w:spacing w:after="0" w:line="276" w:lineRule="auto"/>
            </w:pPr>
            <w:r>
              <w:t>【填写】</w:t>
            </w:r>
          </w:p>
        </w:tc>
      </w:tr>
      <w:tr>
        <w:trPr>
          <w:cantSplit/>
        </w:trPr>
        <w:tc>
          <w:tcPr>
            <w:tcW w:type="dxa" w:w="2551"/>
            <w:vAlign w:val="center"/>
            <w:tcMar>
              <w:top w:w="60" w:type="dxa"/>
              <w:start w:w="90" w:type="dxa"/>
              <w:bottom w:w="60" w:type="dxa"/>
              <w:end w:w="90" w:type="dxa"/>
            </w:tcMar>
          </w:tcPr>
          <w:p>
            <w:pPr>
              <w:spacing w:after="0" w:line="276" w:lineRule="auto"/>
            </w:pPr>
            <w:r>
              <w:t>开通日期</w:t>
            </w:r>
          </w:p>
        </w:tc>
        <w:tc>
          <w:tcPr>
            <w:tcW w:type="dxa" w:w="5953"/>
            <w:vAlign w:val="center"/>
            <w:tcMar>
              <w:top w:w="60" w:type="dxa"/>
              <w:start w:w="90" w:type="dxa"/>
              <w:bottom w:w="60" w:type="dxa"/>
              <w:end w:w="90" w:type="dxa"/>
            </w:tcMar>
          </w:tcPr>
          <w:p>
            <w:pPr>
              <w:spacing w:after="0" w:line="276" w:lineRule="auto"/>
            </w:pPr>
            <w:r>
              <w:t>【填写】</w:t>
            </w:r>
          </w:p>
        </w:tc>
      </w:tr>
      <w:tr>
        <w:trPr>
          <w:cantSplit/>
        </w:trPr>
        <w:tc>
          <w:tcPr>
            <w:tcW w:type="dxa" w:w="2551"/>
            <w:vAlign w:val="center"/>
            <w:tcMar>
              <w:top w:w="60" w:type="dxa"/>
              <w:start w:w="90" w:type="dxa"/>
              <w:bottom w:w="60" w:type="dxa"/>
              <w:end w:w="90" w:type="dxa"/>
            </w:tcMar>
          </w:tcPr>
          <w:p>
            <w:pPr>
              <w:spacing w:after="0" w:line="276" w:lineRule="auto"/>
            </w:pPr>
            <w:r>
              <w:t>管理员账号</w:t>
            </w:r>
          </w:p>
        </w:tc>
        <w:tc>
          <w:tcPr>
            <w:tcW w:type="dxa" w:w="5953"/>
            <w:vAlign w:val="center"/>
            <w:tcMar>
              <w:top w:w="60" w:type="dxa"/>
              <w:start w:w="90" w:type="dxa"/>
              <w:bottom w:w="60" w:type="dxa"/>
              <w:end w:w="90" w:type="dxa"/>
            </w:tcMar>
          </w:tcPr>
          <w:p>
            <w:pPr>
              <w:spacing w:after="0" w:line="276" w:lineRule="auto"/>
            </w:pPr>
            <w:r>
              <w:t>【填写；不写真实密码】</w:t>
            </w:r>
          </w:p>
        </w:tc>
      </w:tr>
      <w:tr>
        <w:trPr>
          <w:cantSplit/>
        </w:trPr>
        <w:tc>
          <w:tcPr>
            <w:tcW w:type="dxa" w:w="2551"/>
            <w:vAlign w:val="center"/>
            <w:tcMar>
              <w:top w:w="60" w:type="dxa"/>
              <w:start w:w="90" w:type="dxa"/>
              <w:bottom w:w="60" w:type="dxa"/>
              <w:end w:w="90" w:type="dxa"/>
            </w:tcMar>
          </w:tcPr>
          <w:p>
            <w:pPr>
              <w:spacing w:after="0" w:line="276" w:lineRule="auto"/>
            </w:pPr>
            <w:r>
              <w:t>账号数量/类型</w:t>
            </w:r>
          </w:p>
        </w:tc>
        <w:tc>
          <w:tcPr>
            <w:tcW w:type="dxa" w:w="5953"/>
            <w:vAlign w:val="center"/>
            <w:tcMar>
              <w:top w:w="60" w:type="dxa"/>
              <w:start w:w="90" w:type="dxa"/>
              <w:bottom w:w="60" w:type="dxa"/>
              <w:end w:w="90" w:type="dxa"/>
            </w:tcMar>
          </w:tcPr>
          <w:p>
            <w:pPr>
              <w:spacing w:after="0" w:line="276" w:lineRule="auto"/>
            </w:pPr>
            <w:r>
              <w:t>【填写】</w:t>
            </w:r>
          </w:p>
        </w:tc>
      </w:tr>
      <w:tr>
        <w:trPr>
          <w:cantSplit/>
        </w:trPr>
        <w:tc>
          <w:tcPr>
            <w:tcW w:type="dxa" w:w="2551"/>
            <w:vAlign w:val="center"/>
            <w:tcMar>
              <w:top w:w="60" w:type="dxa"/>
              <w:start w:w="90" w:type="dxa"/>
              <w:bottom w:w="60" w:type="dxa"/>
              <w:end w:w="90" w:type="dxa"/>
            </w:tcMar>
          </w:tcPr>
          <w:p>
            <w:pPr>
              <w:spacing w:after="0" w:line="276" w:lineRule="auto"/>
            </w:pPr>
            <w:r>
              <w:t>单点登录/多因素认证</w:t>
            </w:r>
          </w:p>
        </w:tc>
        <w:tc>
          <w:tcPr>
            <w:tcW w:type="dxa" w:w="5953"/>
            <w:vAlign w:val="center"/>
            <w:tcMar>
              <w:top w:w="60" w:type="dxa"/>
              <w:start w:w="90" w:type="dxa"/>
              <w:bottom w:w="60" w:type="dxa"/>
              <w:end w:w="90" w:type="dxa"/>
            </w:tcMar>
          </w:tcPr>
          <w:p>
            <w:pPr>
              <w:spacing w:after="0" w:line="276" w:lineRule="auto"/>
            </w:pPr>
            <w:r>
              <w:t>【已配置/不适用/缺陷】</w:t>
            </w:r>
          </w:p>
        </w:tc>
      </w:tr>
      <w:tr>
        <w:trPr>
          <w:cantSplit/>
        </w:trPr>
        <w:tc>
          <w:tcPr>
            <w:tcW w:type="dxa" w:w="2551"/>
            <w:vAlign w:val="center"/>
            <w:tcMar>
              <w:top w:w="60" w:type="dxa"/>
              <w:start w:w="90" w:type="dxa"/>
              <w:bottom w:w="60" w:type="dxa"/>
              <w:end w:w="90" w:type="dxa"/>
            </w:tcMar>
          </w:tcPr>
          <w:p>
            <w:pPr>
              <w:spacing w:after="0" w:line="276" w:lineRule="auto"/>
            </w:pPr>
            <w:r>
              <w:t>接口/API</w:t>
            </w:r>
          </w:p>
        </w:tc>
        <w:tc>
          <w:tcPr>
            <w:tcW w:type="dxa" w:w="5953"/>
            <w:vAlign w:val="center"/>
            <w:tcMar>
              <w:top w:w="60" w:type="dxa"/>
              <w:start w:w="90" w:type="dxa"/>
              <w:bottom w:w="60" w:type="dxa"/>
              <w:end w:w="90" w:type="dxa"/>
            </w:tcMar>
          </w:tcPr>
          <w:p>
            <w:pPr>
              <w:spacing w:after="0" w:line="276" w:lineRule="auto"/>
            </w:pPr>
            <w:r>
              <w:t>【已联调/不适用/缺陷】</w:t>
            </w:r>
          </w:p>
        </w:tc>
      </w:tr>
      <w:tr>
        <w:trPr>
          <w:cantSplit/>
        </w:trPr>
        <w:tc>
          <w:tcPr>
            <w:tcW w:type="dxa" w:w="2551"/>
            <w:vAlign w:val="center"/>
            <w:tcMar>
              <w:top w:w="60" w:type="dxa"/>
              <w:start w:w="90" w:type="dxa"/>
              <w:bottom w:w="60" w:type="dxa"/>
              <w:end w:w="90" w:type="dxa"/>
            </w:tcMar>
          </w:tcPr>
          <w:p>
            <w:pPr>
              <w:spacing w:after="0" w:line="276" w:lineRule="auto"/>
            </w:pPr>
            <w:r>
              <w:t>配置项</w:t>
            </w:r>
          </w:p>
        </w:tc>
        <w:tc>
          <w:tcPr>
            <w:tcW w:type="dxa" w:w="5953"/>
            <w:vAlign w:val="center"/>
            <w:tcMar>
              <w:top w:w="60" w:type="dxa"/>
              <w:start w:w="90" w:type="dxa"/>
              <w:bottom w:w="60" w:type="dxa"/>
              <w:end w:w="90" w:type="dxa"/>
            </w:tcMar>
          </w:tcPr>
          <w:p>
            <w:pPr>
              <w:spacing w:after="0" w:line="276" w:lineRule="auto"/>
            </w:pPr>
            <w:r>
              <w:t>【组织架构、流程、字段、权限】</w:t>
            </w:r>
          </w:p>
        </w:tc>
      </w:tr>
      <w:tr>
        <w:trPr>
          <w:cantSplit/>
        </w:trPr>
        <w:tc>
          <w:tcPr>
            <w:tcW w:type="dxa" w:w="2551"/>
            <w:vAlign w:val="center"/>
            <w:tcMar>
              <w:top w:w="60" w:type="dxa"/>
              <w:start w:w="90" w:type="dxa"/>
              <w:bottom w:w="60" w:type="dxa"/>
              <w:end w:w="90" w:type="dxa"/>
            </w:tcMar>
          </w:tcPr>
          <w:p>
            <w:pPr>
              <w:spacing w:after="0" w:line="276" w:lineRule="auto"/>
            </w:pPr>
            <w:r>
              <w:t>数据导入</w:t>
            </w:r>
          </w:p>
        </w:tc>
        <w:tc>
          <w:tcPr>
            <w:tcW w:type="dxa" w:w="5953"/>
            <w:vAlign w:val="center"/>
            <w:tcMar>
              <w:top w:w="60" w:type="dxa"/>
              <w:start w:w="90" w:type="dxa"/>
              <w:bottom w:w="60" w:type="dxa"/>
              <w:end w:w="90" w:type="dxa"/>
            </w:tcMar>
          </w:tcPr>
          <w:p>
            <w:pPr>
              <w:spacing w:after="0" w:line="276" w:lineRule="auto"/>
            </w:pPr>
            <w:r>
              <w:t>【范围、条数、校验结果】</w:t>
            </w:r>
          </w:p>
        </w:tc>
      </w:tr>
      <w:tr>
        <w:trPr>
          <w:cantSplit/>
        </w:trPr>
        <w:tc>
          <w:tcPr>
            <w:tcW w:type="dxa" w:w="2551"/>
            <w:vAlign w:val="center"/>
            <w:tcMar>
              <w:top w:w="60" w:type="dxa"/>
              <w:start w:w="90" w:type="dxa"/>
              <w:bottom w:w="60" w:type="dxa"/>
              <w:end w:w="90" w:type="dxa"/>
            </w:tcMar>
          </w:tcPr>
          <w:p>
            <w:pPr>
              <w:spacing w:after="0" w:line="276" w:lineRule="auto"/>
            </w:pPr>
            <w:r>
              <w:t>已知缺陷</w:t>
            </w:r>
          </w:p>
        </w:tc>
        <w:tc>
          <w:tcPr>
            <w:tcW w:type="dxa" w:w="5953"/>
            <w:vAlign w:val="center"/>
            <w:tcMar>
              <w:top w:w="60" w:type="dxa"/>
              <w:start w:w="90" w:type="dxa"/>
              <w:bottom w:w="60" w:type="dxa"/>
              <w:end w:w="90" w:type="dxa"/>
            </w:tcMar>
          </w:tcPr>
          <w:p>
            <w:pPr>
              <w:spacing w:after="0" w:line="276" w:lineRule="auto"/>
            </w:pPr>
            <w:r>
              <w:t>【编号、描述、严重程度、整改期限】</w:t>
            </w:r>
          </w:p>
        </w:tc>
      </w:tr>
      <w:tr>
        <w:trPr>
          <w:cantSplit/>
        </w:trPr>
        <w:tc>
          <w:tcPr>
            <w:tcW w:type="dxa" w:w="2551"/>
            <w:vAlign w:val="center"/>
            <w:tcMar>
              <w:top w:w="60" w:type="dxa"/>
              <w:start w:w="90" w:type="dxa"/>
              <w:bottom w:w="60" w:type="dxa"/>
              <w:end w:w="90" w:type="dxa"/>
            </w:tcMar>
          </w:tcPr>
          <w:p>
            <w:pPr>
              <w:spacing w:after="0" w:line="276" w:lineRule="auto"/>
            </w:pPr>
            <w:r>
              <w:t>核验结论</w:t>
            </w:r>
          </w:p>
        </w:tc>
        <w:tc>
          <w:tcPr>
            <w:tcW w:type="dxa" w:w="5953"/>
            <w:vAlign w:val="center"/>
            <w:tcMar>
              <w:top w:w="60" w:type="dxa"/>
              <w:start w:w="90" w:type="dxa"/>
              <w:bottom w:w="60" w:type="dxa"/>
              <w:end w:w="90" w:type="dxa"/>
            </w:tcMar>
          </w:tcPr>
          <w:p>
            <w:pPr>
              <w:spacing w:after="0" w:line="276" w:lineRule="auto"/>
            </w:pPr>
            <w:r>
              <w:t>☐ 通过   ☐ 有条件通过（缺陷见下）   ☐ 不通过</w:t>
            </w:r>
          </w:p>
        </w:tc>
      </w:tr>
    </w:tbl>
    <w:p>
      <w:pPr>
        <w:spacing w:after="60" w:line="300" w:lineRule="auto"/>
      </w:pPr>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569"/>
        <w:gridCol w:w="1569"/>
        <w:gridCol w:w="1569"/>
        <w:gridCol w:w="1569"/>
        <w:gridCol w:w="1569"/>
        <w:gridCol w:w="1569"/>
      </w:tblGrid>
      <w:tr>
        <w:trPr>
          <w:tblHeader w:val="true"/>
        </w:trPr>
        <w:tc>
          <w:tcPr>
            <w:tcW w:type="dxa" w:w="907"/>
            <w:vAlign w:val="center"/>
            <w:tcMar>
              <w:top w:w="60" w:type="dxa"/>
              <w:start w:w="90" w:type="dxa"/>
              <w:bottom w:w="60" w:type="dxa"/>
              <w:end w:w="90" w:type="dxa"/>
            </w:tcMar>
            <w:shd w:fill="1F4E79"/>
          </w:tcPr>
          <w:p>
            <w:pPr>
              <w:spacing w:after="0"/>
              <w:jc w:val="center"/>
            </w:pPr>
            <w:r>
              <w:t>缺陷编号</w:t>
            </w:r>
          </w:p>
        </w:tc>
        <w:tc>
          <w:tcPr>
            <w:tcW w:type="dxa" w:w="2948"/>
            <w:vAlign w:val="center"/>
            <w:tcMar>
              <w:top w:w="60" w:type="dxa"/>
              <w:start w:w="90" w:type="dxa"/>
              <w:bottom w:w="60" w:type="dxa"/>
              <w:end w:w="90" w:type="dxa"/>
            </w:tcMar>
            <w:shd w:fill="1F4E79"/>
          </w:tcPr>
          <w:p>
            <w:pPr>
              <w:spacing w:after="0"/>
              <w:jc w:val="center"/>
            </w:pPr>
            <w:r>
              <w:t>描述</w:t>
            </w:r>
          </w:p>
        </w:tc>
        <w:tc>
          <w:tcPr>
            <w:tcW w:type="dxa" w:w="1134"/>
            <w:vAlign w:val="center"/>
            <w:tcMar>
              <w:top w:w="60" w:type="dxa"/>
              <w:start w:w="90" w:type="dxa"/>
              <w:bottom w:w="60" w:type="dxa"/>
              <w:end w:w="90" w:type="dxa"/>
            </w:tcMar>
            <w:shd w:fill="1F4E79"/>
          </w:tcPr>
          <w:p>
            <w:pPr>
              <w:spacing w:after="0"/>
              <w:jc w:val="center"/>
            </w:pPr>
            <w:r>
              <w:t>严重程度</w:t>
            </w:r>
          </w:p>
        </w:tc>
        <w:tc>
          <w:tcPr>
            <w:tcW w:type="dxa" w:w="1928"/>
            <w:vAlign w:val="center"/>
            <w:tcMar>
              <w:top w:w="60" w:type="dxa"/>
              <w:start w:w="90" w:type="dxa"/>
              <w:bottom w:w="60" w:type="dxa"/>
              <w:end w:w="90" w:type="dxa"/>
            </w:tcMar>
            <w:shd w:fill="1F4E79"/>
          </w:tcPr>
          <w:p>
            <w:pPr>
              <w:spacing w:after="0"/>
              <w:jc w:val="center"/>
            </w:pPr>
            <w:r>
              <w:t>影响</w:t>
            </w:r>
          </w:p>
        </w:tc>
        <w:tc>
          <w:tcPr>
            <w:tcW w:type="dxa" w:w="1020"/>
            <w:vAlign w:val="center"/>
            <w:tcMar>
              <w:top w:w="60" w:type="dxa"/>
              <w:start w:w="90" w:type="dxa"/>
              <w:bottom w:w="60" w:type="dxa"/>
              <w:end w:w="90" w:type="dxa"/>
            </w:tcMar>
            <w:shd w:fill="1F4E79"/>
          </w:tcPr>
          <w:p>
            <w:pPr>
              <w:spacing w:after="0"/>
              <w:jc w:val="center"/>
            </w:pPr>
            <w:r>
              <w:t>整改期限</w:t>
            </w:r>
          </w:p>
        </w:tc>
        <w:tc>
          <w:tcPr>
            <w:tcW w:type="dxa" w:w="907"/>
            <w:vAlign w:val="center"/>
            <w:tcMar>
              <w:top w:w="60" w:type="dxa"/>
              <w:start w:w="90" w:type="dxa"/>
              <w:bottom w:w="60" w:type="dxa"/>
              <w:end w:w="90" w:type="dxa"/>
            </w:tcMar>
            <w:shd w:fill="1F4E79"/>
          </w:tcPr>
          <w:p>
            <w:pPr>
              <w:spacing w:after="0"/>
              <w:jc w:val="center"/>
            </w:pPr>
            <w:r>
              <w:t>责任人</w:t>
            </w:r>
          </w:p>
        </w:tc>
      </w:tr>
      <w:tr>
        <w:trPr>
          <w:cantSplit/>
        </w:trPr>
        <w:tc>
          <w:tcPr>
            <w:tcW w:type="dxa" w:w="907"/>
            <w:vAlign w:val="center"/>
            <w:tcMar>
              <w:top w:w="60" w:type="dxa"/>
              <w:start w:w="90" w:type="dxa"/>
              <w:bottom w:w="60" w:type="dxa"/>
              <w:end w:w="90" w:type="dxa"/>
            </w:tcMar>
          </w:tcPr>
          <w:p>
            <w:pPr>
              <w:spacing w:after="0" w:line="276" w:lineRule="auto"/>
            </w:pPr>
            <w:r>
              <w:t>D-01</w:t>
            </w:r>
          </w:p>
        </w:tc>
        <w:tc>
          <w:tcPr>
            <w:tcW w:type="dxa" w:w="2948"/>
            <w:vAlign w:val="center"/>
            <w:tcMar>
              <w:top w:w="60" w:type="dxa"/>
              <w:start w:w="90" w:type="dxa"/>
              <w:bottom w:w="60" w:type="dxa"/>
              <w:end w:w="90" w:type="dxa"/>
            </w:tcMar>
          </w:tcPr>
          <w:p>
            <w:pPr>
              <w:spacing w:after="0" w:line="276" w:lineRule="auto"/>
            </w:pPr>
            <w:r>
              <w:t>【填写】</w:t>
            </w:r>
          </w:p>
        </w:tc>
        <w:tc>
          <w:tcPr>
            <w:tcW w:type="dxa" w:w="1134"/>
            <w:vAlign w:val="center"/>
            <w:tcMar>
              <w:top w:w="60" w:type="dxa"/>
              <w:start w:w="90" w:type="dxa"/>
              <w:bottom w:w="60" w:type="dxa"/>
              <w:end w:w="90" w:type="dxa"/>
            </w:tcMar>
          </w:tcPr>
          <w:p>
            <w:pPr>
              <w:spacing w:after="0" w:line="276" w:lineRule="auto"/>
            </w:pPr>
            <w:r>
              <w:t>【高/中/低】</w:t>
            </w:r>
          </w:p>
        </w:tc>
        <w:tc>
          <w:tcPr>
            <w:tcW w:type="dxa" w:w="1928"/>
            <w:vAlign w:val="center"/>
            <w:tcMar>
              <w:top w:w="60" w:type="dxa"/>
              <w:start w:w="90" w:type="dxa"/>
              <w:bottom w:w="60" w:type="dxa"/>
              <w:end w:w="90" w:type="dxa"/>
            </w:tcMar>
          </w:tcPr>
          <w:p>
            <w:pPr>
              <w:spacing w:after="0" w:line="276" w:lineRule="auto"/>
            </w:pPr>
            <w:r>
              <w:t>【填写】</w:t>
            </w:r>
          </w:p>
        </w:tc>
        <w:tc>
          <w:tcPr>
            <w:tcW w:type="dxa" w:w="1020"/>
            <w:vAlign w:val="center"/>
            <w:tcMar>
              <w:top w:w="60" w:type="dxa"/>
              <w:start w:w="90" w:type="dxa"/>
              <w:bottom w:w="60" w:type="dxa"/>
              <w:end w:w="90" w:type="dxa"/>
            </w:tcMar>
          </w:tcPr>
          <w:p>
            <w:pPr>
              <w:spacing w:after="0" w:line="276" w:lineRule="auto"/>
            </w:pPr>
            <w:r>
              <w:t>【日期】</w:t>
            </w:r>
          </w:p>
        </w:tc>
        <w:tc>
          <w:tcPr>
            <w:tcW w:type="dxa" w:w="907"/>
            <w:vAlign w:val="center"/>
            <w:tcMar>
              <w:top w:w="60" w:type="dxa"/>
              <w:start w:w="90" w:type="dxa"/>
              <w:bottom w:w="60" w:type="dxa"/>
              <w:end w:w="90" w:type="dxa"/>
            </w:tcMar>
          </w:tcPr>
          <w:p>
            <w:pPr>
              <w:spacing w:after="0" w:line="276" w:lineRule="auto"/>
            </w:pPr>
            <w:r>
              <w:t>【填写】</w:t>
            </w:r>
          </w:p>
        </w:tc>
      </w:tr>
    </w:tbl>
    <w:p>
      <w:pPr>
        <w:spacing w:after="60" w:line="300" w:lineRule="auto"/>
      </w:pPr>
      <w:r/>
    </w:p>
    <w:p>
      <w:pPr>
        <w:keepNext w:val="0"/>
        <w:spacing w:before="0" w:after="60" w:line="300" w:lineRule="auto"/>
      </w:pPr>
      <w:r>
        <w:t>双方确认：开通核验记录真实；已知缺陷已列入整改计划；开通不构成对持续 SLA 的放弃。</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3402"/>
            <w:vAlign w:val="center"/>
            <w:tcMar>
              <w:top w:w="60" w:type="dxa"/>
              <w:start w:w="90" w:type="dxa"/>
              <w:bottom w:w="60" w:type="dxa"/>
              <w:end w:w="90" w:type="dxa"/>
            </w:tcMar>
            <w:shd w:fill="1F4E79"/>
          </w:tcPr>
          <w:p>
            <w:pPr>
              <w:spacing w:after="0"/>
              <w:jc w:val="center"/>
            </w:pPr>
            <w:r>
              <w:t>甲方核验人（签字）</w:t>
            </w:r>
          </w:p>
        </w:tc>
        <w:tc>
          <w:tcPr>
            <w:tcW w:type="dxa" w:w="2551"/>
            <w:vAlign w:val="center"/>
            <w:tcMar>
              <w:top w:w="60" w:type="dxa"/>
              <w:start w:w="90" w:type="dxa"/>
              <w:bottom w:w="60" w:type="dxa"/>
              <w:end w:w="90" w:type="dxa"/>
            </w:tcMar>
            <w:shd w:fill="1F4E79"/>
          </w:tcPr>
          <w:p>
            <w:pPr>
              <w:spacing w:after="0"/>
              <w:jc w:val="center"/>
            </w:pPr>
            <w:r>
              <w:t>乙方交付人（签字）</w:t>
            </w:r>
          </w:p>
        </w:tc>
        <w:tc>
          <w:tcPr>
            <w:tcW w:type="dxa" w:w="2551"/>
            <w:vAlign w:val="center"/>
            <w:tcMar>
              <w:top w:w="60" w:type="dxa"/>
              <w:start w:w="90" w:type="dxa"/>
              <w:bottom w:w="60" w:type="dxa"/>
              <w:end w:w="90" w:type="dxa"/>
            </w:tcMar>
            <w:shd w:fill="1F4E79"/>
          </w:tcPr>
          <w:p>
            <w:pPr>
              <w:spacing w:after="0"/>
              <w:jc w:val="center"/>
            </w:pPr>
            <w:r>
              <w:t>日期</w:t>
            </w:r>
          </w:p>
        </w:tc>
      </w:tr>
      <w:tr>
        <w:trPr>
          <w:cantSplit/>
        </w:trPr>
        <w:tc>
          <w:tcPr>
            <w:tcW w:type="dxa" w:w="3402"/>
            <w:vAlign w:val="center"/>
            <w:tcMar>
              <w:top w:w="60" w:type="dxa"/>
              <w:start w:w="90" w:type="dxa"/>
              <w:bottom w:w="60" w:type="dxa"/>
              <w:end w:w="90" w:type="dxa"/>
            </w:tcMar>
          </w:tcPr>
          <w:p>
            <w:pPr>
              <w:spacing w:after="0" w:line="276" w:lineRule="auto"/>
            </w:pPr>
            <w:r>
              <w:t>【填写】</w:t>
            </w:r>
          </w:p>
        </w:tc>
        <w:tc>
          <w:tcPr>
            <w:tcW w:type="dxa" w:w="2551"/>
            <w:vAlign w:val="center"/>
            <w:tcMar>
              <w:top w:w="60" w:type="dxa"/>
              <w:start w:w="90" w:type="dxa"/>
              <w:bottom w:w="60" w:type="dxa"/>
              <w:end w:w="90" w:type="dxa"/>
            </w:tcMar>
          </w:tcPr>
          <w:p>
            <w:pPr>
              <w:spacing w:after="0" w:line="276" w:lineRule="auto"/>
            </w:pPr>
            <w:r>
              <w:t>【填写】</w:t>
            </w:r>
          </w:p>
        </w:tc>
        <w:tc>
          <w:tcPr>
            <w:tcW w:type="dxa" w:w="2551"/>
            <w:vAlign w:val="center"/>
            <w:tcMar>
              <w:top w:w="60" w:type="dxa"/>
              <w:start w:w="90" w:type="dxa"/>
              <w:bottom w:w="60" w:type="dxa"/>
              <w:end w:w="90" w:type="dxa"/>
            </w:tcMar>
          </w:tcPr>
          <w:p>
            <w:pPr>
              <w:spacing w:after="0" w:line="276" w:lineRule="auto"/>
            </w:pPr>
            <w:r>
              <w:t>【年】年【月】月【日】日</w:t>
            </w:r>
          </w:p>
        </w:tc>
      </w:tr>
    </w:tbl>
    <w:p>
      <w:pPr>
        <w:spacing w:after="60" w:line="300" w:lineRule="auto"/>
      </w:pPr>
      <w:r/>
    </w:p>
    <w:p>
      <w:pPr>
        <w:spacing w:after="60" w:line="300" w:lineRule="auto"/>
      </w:pPr>
      <w:r/>
    </w:p>
    <w:p>
      <w:pPr>
        <w:pStyle w:val="Heading1"/>
      </w:pPr>
      <w:r>
        <w:t>附件三  服务水平协议（SLA）</w:t>
      </w:r>
    </w:p>
    <w:p>
      <w:pPr>
        <w:pStyle w:val="Heading2"/>
      </w:pPr>
      <w:r>
        <w:t>一、可用性与统计</w:t>
      </w:r>
    </w:p>
    <w:p>
      <w:pPr>
        <w:keepNext w:val="0"/>
        <w:spacing w:before="0" w:after="60" w:line="300" w:lineRule="auto"/>
      </w:pPr>
      <w:r>
        <w:t>1.1 月度可用性目标为 99.9%。可用性按下列公式计算：</w:t>
      </w:r>
    </w:p>
    <w:p>
      <w:pPr>
        <w:keepNext w:val="0"/>
        <w:spacing w:before="0" w:after="60" w:line="300" w:lineRule="auto"/>
        <w:jc w:val="center"/>
      </w:pPr>
      <w:r>
        <w:t>可用性 =（统计周期总分钟数 − 排除的维护时间 − 不可用时间）÷（统计周期总分钟数 − 排除的维护时间）× 100%</w:t>
      </w:r>
    </w:p>
    <w:p>
      <w:pPr>
        <w:keepNext w:val="0"/>
        <w:spacing w:before="0" w:after="60" w:line="300" w:lineRule="auto"/>
      </w:pPr>
      <w:r>
        <w:t>1.2 统计周期为每个自然月，以北京时间 00:00 至月末 24:00 计算。不可用时间自甲方无法访问核心功能或乙方监控确认故障时起算，至服务恢复可用时止。</w:t>
      </w:r>
    </w:p>
    <w:p>
      <w:pPr>
        <w:keepNext w:val="0"/>
        <w:spacing w:before="0" w:after="60" w:line="300" w:lineRule="auto"/>
      </w:pPr>
      <w:r>
        <w:t>1.3 计划维护每月累计不超过八（8）小时，乙方应提前不少于五（5）个工作日书面通知；紧急维护每月累计不超过四（4）小时，乙方应在故障发生后两（2）小时内通知。超出上述上限的维护时间计入不可用时间。</w:t>
      </w:r>
    </w:p>
    <w:p>
      <w:pPr>
        <w:keepNext w:val="0"/>
        <w:spacing w:before="0" w:after="60" w:line="300" w:lineRule="auto"/>
      </w:pPr>
      <w:r>
        <w:t>1.4 以下时间不计入不可用时间：（a）可归责于甲方的网络、设备、配置或甲方独立采购的第三方服务导致的不可用（不含乙方及其分包商的故障）；（b）甲方未经授权的修改或使用；（c）不可抗力；（d）乙方按第 1.3 条通知的维护；（e）双方确认的试用、测试或非生产环境。</w:t>
      </w:r>
    </w:p>
    <w:p>
      <w:pPr>
        <w:keepNext w:val="0"/>
        <w:spacing w:before="0" w:after="60" w:line="300" w:lineRule="auto"/>
      </w:pPr>
      <w:r>
        <w:t>1.5 乙方应保存监控原始记录。甲方对统计有异议的，应在收到月度报告后十五（15）个工作日内提出，双方核对原始日志；无法核对的，按有利于甲方的合理方式处理。</w:t>
      </w:r>
    </w:p>
    <w:p>
      <w:pPr>
        <w:pStyle w:val="Heading2"/>
      </w:pPr>
      <w:r>
        <w:t>二、故障等级与响应</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882"/>
        <w:gridCol w:w="1882"/>
        <w:gridCol w:w="1882"/>
        <w:gridCol w:w="1882"/>
        <w:gridCol w:w="1882"/>
      </w:tblGrid>
      <w:tr>
        <w:trPr>
          <w:tblHeader w:val="true"/>
        </w:trPr>
        <w:tc>
          <w:tcPr>
            <w:tcW w:type="dxa" w:w="1134"/>
            <w:vAlign w:val="center"/>
            <w:tcMar>
              <w:top w:w="60" w:type="dxa"/>
              <w:start w:w="90" w:type="dxa"/>
              <w:bottom w:w="60" w:type="dxa"/>
              <w:end w:w="90" w:type="dxa"/>
            </w:tcMar>
            <w:shd w:fill="1F4E79"/>
          </w:tcPr>
          <w:p>
            <w:pPr>
              <w:spacing w:after="0"/>
              <w:jc w:val="center"/>
            </w:pPr>
            <w:r>
              <w:t>等级</w:t>
            </w:r>
          </w:p>
        </w:tc>
        <w:tc>
          <w:tcPr>
            <w:tcW w:type="dxa" w:w="3628"/>
            <w:vAlign w:val="center"/>
            <w:tcMar>
              <w:top w:w="60" w:type="dxa"/>
              <w:start w:w="90" w:type="dxa"/>
              <w:bottom w:w="60" w:type="dxa"/>
              <w:end w:w="90" w:type="dxa"/>
            </w:tcMar>
            <w:shd w:fill="1F4E79"/>
          </w:tcPr>
          <w:p>
            <w:pPr>
              <w:spacing w:after="0"/>
              <w:jc w:val="center"/>
            </w:pPr>
            <w:r>
              <w:t>定义</w:t>
            </w:r>
          </w:p>
        </w:tc>
        <w:tc>
          <w:tcPr>
            <w:tcW w:type="dxa" w:w="1247"/>
            <w:vAlign w:val="center"/>
            <w:tcMar>
              <w:top w:w="60" w:type="dxa"/>
              <w:start w:w="90" w:type="dxa"/>
              <w:bottom w:w="60" w:type="dxa"/>
              <w:end w:w="90" w:type="dxa"/>
            </w:tcMar>
            <w:shd w:fill="1F4E79"/>
          </w:tcPr>
          <w:p>
            <w:pPr>
              <w:spacing w:after="0"/>
              <w:jc w:val="center"/>
            </w:pPr>
            <w:r>
              <w:t>首次响应</w:t>
            </w:r>
          </w:p>
        </w:tc>
        <w:tc>
          <w:tcPr>
            <w:tcW w:type="dxa" w:w="2268"/>
            <w:vAlign w:val="center"/>
            <w:tcMar>
              <w:top w:w="60" w:type="dxa"/>
              <w:start w:w="90" w:type="dxa"/>
              <w:bottom w:w="60" w:type="dxa"/>
              <w:end w:w="90" w:type="dxa"/>
            </w:tcMar>
            <w:shd w:fill="1F4E79"/>
          </w:tcPr>
          <w:p>
            <w:pPr>
              <w:spacing w:after="0"/>
              <w:jc w:val="center"/>
            </w:pPr>
            <w:r>
              <w:t>恢复/规避目标</w:t>
            </w:r>
          </w:p>
        </w:tc>
        <w:tc>
          <w:tcPr>
            <w:tcW w:type="dxa" w:w="1361"/>
            <w:vAlign w:val="center"/>
            <w:tcMar>
              <w:top w:w="60" w:type="dxa"/>
              <w:start w:w="90" w:type="dxa"/>
              <w:bottom w:w="60" w:type="dxa"/>
              <w:end w:w="90" w:type="dxa"/>
            </w:tcMar>
            <w:shd w:fill="1F4E79"/>
          </w:tcPr>
          <w:p>
            <w:pPr>
              <w:spacing w:after="0"/>
              <w:jc w:val="center"/>
            </w:pPr>
            <w:r>
              <w:t>支持时间</w:t>
            </w:r>
          </w:p>
        </w:tc>
      </w:tr>
      <w:tr>
        <w:trPr>
          <w:cantSplit/>
        </w:trPr>
        <w:tc>
          <w:tcPr>
            <w:tcW w:type="dxa" w:w="1134"/>
            <w:vAlign w:val="center"/>
            <w:tcMar>
              <w:top w:w="60" w:type="dxa"/>
              <w:start w:w="90" w:type="dxa"/>
              <w:bottom w:w="60" w:type="dxa"/>
              <w:end w:w="90" w:type="dxa"/>
            </w:tcMar>
          </w:tcPr>
          <w:p>
            <w:pPr>
              <w:spacing w:after="0" w:line="276" w:lineRule="auto"/>
            </w:pPr>
            <w:r>
              <w:t>P1 紧急</w:t>
            </w:r>
          </w:p>
        </w:tc>
        <w:tc>
          <w:tcPr>
            <w:tcW w:type="dxa" w:w="3628"/>
            <w:vAlign w:val="center"/>
            <w:tcMar>
              <w:top w:w="60" w:type="dxa"/>
              <w:start w:w="90" w:type="dxa"/>
              <w:bottom w:w="60" w:type="dxa"/>
              <w:end w:w="90" w:type="dxa"/>
            </w:tcMar>
          </w:tcPr>
          <w:p>
            <w:pPr>
              <w:spacing w:after="0" w:line="276" w:lineRule="auto"/>
            </w:pPr>
            <w:r>
              <w:t>核心功能全面不可用、数据面临重大风险或安全事件</w:t>
            </w:r>
          </w:p>
        </w:tc>
        <w:tc>
          <w:tcPr>
            <w:tcW w:type="dxa" w:w="1247"/>
            <w:vAlign w:val="center"/>
            <w:tcMar>
              <w:top w:w="60" w:type="dxa"/>
              <w:start w:w="90" w:type="dxa"/>
              <w:bottom w:w="60" w:type="dxa"/>
              <w:end w:w="90" w:type="dxa"/>
            </w:tcMar>
          </w:tcPr>
          <w:p>
            <w:pPr>
              <w:spacing w:after="0" w:line="276" w:lineRule="auto"/>
            </w:pPr>
            <w:r>
              <w:t>15 分钟</w:t>
            </w:r>
          </w:p>
        </w:tc>
        <w:tc>
          <w:tcPr>
            <w:tcW w:type="dxa" w:w="2268"/>
            <w:vAlign w:val="center"/>
            <w:tcMar>
              <w:top w:w="60" w:type="dxa"/>
              <w:start w:w="90" w:type="dxa"/>
              <w:bottom w:w="60" w:type="dxa"/>
              <w:end w:w="90" w:type="dxa"/>
            </w:tcMar>
          </w:tcPr>
          <w:p>
            <w:pPr>
              <w:spacing w:after="0" w:line="276" w:lineRule="auto"/>
            </w:pPr>
            <w:r>
              <w:t>4 小时内恢复或提供规避方案</w:t>
            </w:r>
          </w:p>
        </w:tc>
        <w:tc>
          <w:tcPr>
            <w:tcW w:type="dxa" w:w="1361"/>
            <w:vAlign w:val="center"/>
            <w:tcMar>
              <w:top w:w="60" w:type="dxa"/>
              <w:start w:w="90" w:type="dxa"/>
              <w:bottom w:w="60" w:type="dxa"/>
              <w:end w:w="90" w:type="dxa"/>
            </w:tcMar>
          </w:tcPr>
          <w:p>
            <w:pPr>
              <w:spacing w:after="0" w:line="276" w:lineRule="auto"/>
            </w:pPr>
            <w:r>
              <w:t>7×24</w:t>
            </w:r>
          </w:p>
        </w:tc>
      </w:tr>
      <w:tr>
        <w:trPr>
          <w:cantSplit/>
        </w:trPr>
        <w:tc>
          <w:tcPr>
            <w:tcW w:type="dxa" w:w="1134"/>
            <w:vAlign w:val="center"/>
            <w:tcMar>
              <w:top w:w="60" w:type="dxa"/>
              <w:start w:w="90" w:type="dxa"/>
              <w:bottom w:w="60" w:type="dxa"/>
              <w:end w:w="90" w:type="dxa"/>
            </w:tcMar>
          </w:tcPr>
          <w:p>
            <w:pPr>
              <w:spacing w:after="0" w:line="276" w:lineRule="auto"/>
            </w:pPr>
            <w:r>
              <w:t>P2 高</w:t>
            </w:r>
          </w:p>
        </w:tc>
        <w:tc>
          <w:tcPr>
            <w:tcW w:type="dxa" w:w="3628"/>
            <w:vAlign w:val="center"/>
            <w:tcMar>
              <w:top w:w="60" w:type="dxa"/>
              <w:start w:w="90" w:type="dxa"/>
              <w:bottom w:w="60" w:type="dxa"/>
              <w:end w:w="90" w:type="dxa"/>
            </w:tcMar>
          </w:tcPr>
          <w:p>
            <w:pPr>
              <w:spacing w:after="0" w:line="276" w:lineRule="auto"/>
            </w:pPr>
            <w:r>
              <w:t>核心功能严重受损、主要用户受影响，但存在临时规避</w:t>
            </w:r>
          </w:p>
        </w:tc>
        <w:tc>
          <w:tcPr>
            <w:tcW w:type="dxa" w:w="1247"/>
            <w:vAlign w:val="center"/>
            <w:tcMar>
              <w:top w:w="60" w:type="dxa"/>
              <w:start w:w="90" w:type="dxa"/>
              <w:bottom w:w="60" w:type="dxa"/>
              <w:end w:w="90" w:type="dxa"/>
            </w:tcMar>
          </w:tcPr>
          <w:p>
            <w:pPr>
              <w:spacing w:after="0" w:line="276" w:lineRule="auto"/>
            </w:pPr>
            <w:r>
              <w:t>30 分钟</w:t>
            </w:r>
          </w:p>
        </w:tc>
        <w:tc>
          <w:tcPr>
            <w:tcW w:type="dxa" w:w="2268"/>
            <w:vAlign w:val="center"/>
            <w:tcMar>
              <w:top w:w="60" w:type="dxa"/>
              <w:start w:w="90" w:type="dxa"/>
              <w:bottom w:w="60" w:type="dxa"/>
              <w:end w:w="90" w:type="dxa"/>
            </w:tcMar>
          </w:tcPr>
          <w:p>
            <w:pPr>
              <w:spacing w:after="0" w:line="276" w:lineRule="auto"/>
            </w:pPr>
            <w:r>
              <w:t>8 小时内恢复或提供规避方案</w:t>
            </w:r>
          </w:p>
        </w:tc>
        <w:tc>
          <w:tcPr>
            <w:tcW w:type="dxa" w:w="1361"/>
            <w:vAlign w:val="center"/>
            <w:tcMar>
              <w:top w:w="60" w:type="dxa"/>
              <w:start w:w="90" w:type="dxa"/>
              <w:bottom w:w="60" w:type="dxa"/>
              <w:end w:w="90" w:type="dxa"/>
            </w:tcMar>
          </w:tcPr>
          <w:p>
            <w:pPr>
              <w:spacing w:after="0" w:line="276" w:lineRule="auto"/>
            </w:pPr>
            <w:r>
              <w:t>7×24</w:t>
            </w:r>
          </w:p>
        </w:tc>
      </w:tr>
      <w:tr>
        <w:trPr>
          <w:cantSplit/>
        </w:trPr>
        <w:tc>
          <w:tcPr>
            <w:tcW w:type="dxa" w:w="1134"/>
            <w:vAlign w:val="center"/>
            <w:tcMar>
              <w:top w:w="60" w:type="dxa"/>
              <w:start w:w="90" w:type="dxa"/>
              <w:bottom w:w="60" w:type="dxa"/>
              <w:end w:w="90" w:type="dxa"/>
            </w:tcMar>
          </w:tcPr>
          <w:p>
            <w:pPr>
              <w:spacing w:after="0" w:line="276" w:lineRule="auto"/>
            </w:pPr>
            <w:r>
              <w:t>P3 中</w:t>
            </w:r>
          </w:p>
        </w:tc>
        <w:tc>
          <w:tcPr>
            <w:tcW w:type="dxa" w:w="3628"/>
            <w:vAlign w:val="center"/>
            <w:tcMar>
              <w:top w:w="60" w:type="dxa"/>
              <w:start w:w="90" w:type="dxa"/>
              <w:bottom w:w="60" w:type="dxa"/>
              <w:end w:w="90" w:type="dxa"/>
            </w:tcMar>
          </w:tcPr>
          <w:p>
            <w:pPr>
              <w:spacing w:after="0" w:line="276" w:lineRule="auto"/>
            </w:pPr>
            <w:r>
              <w:t>非核心功能异常、部分用户受影响</w:t>
            </w:r>
          </w:p>
        </w:tc>
        <w:tc>
          <w:tcPr>
            <w:tcW w:type="dxa" w:w="1247"/>
            <w:vAlign w:val="center"/>
            <w:tcMar>
              <w:top w:w="60" w:type="dxa"/>
              <w:start w:w="90" w:type="dxa"/>
              <w:bottom w:w="60" w:type="dxa"/>
              <w:end w:w="90" w:type="dxa"/>
            </w:tcMar>
          </w:tcPr>
          <w:p>
            <w:pPr>
              <w:spacing w:after="0" w:line="276" w:lineRule="auto"/>
            </w:pPr>
            <w:r>
              <w:t>4 小时</w:t>
            </w:r>
          </w:p>
        </w:tc>
        <w:tc>
          <w:tcPr>
            <w:tcW w:type="dxa" w:w="2268"/>
            <w:vAlign w:val="center"/>
            <w:tcMar>
              <w:top w:w="60" w:type="dxa"/>
              <w:start w:w="90" w:type="dxa"/>
              <w:bottom w:w="60" w:type="dxa"/>
              <w:end w:w="90" w:type="dxa"/>
            </w:tcMar>
          </w:tcPr>
          <w:p>
            <w:pPr>
              <w:spacing w:after="0" w:line="276" w:lineRule="auto"/>
            </w:pPr>
            <w:r>
              <w:t>2 个工作日内解决</w:t>
            </w:r>
          </w:p>
        </w:tc>
        <w:tc>
          <w:tcPr>
            <w:tcW w:type="dxa" w:w="1361"/>
            <w:vAlign w:val="center"/>
            <w:tcMar>
              <w:top w:w="60" w:type="dxa"/>
              <w:start w:w="90" w:type="dxa"/>
              <w:bottom w:w="60" w:type="dxa"/>
              <w:end w:w="90" w:type="dxa"/>
            </w:tcMar>
          </w:tcPr>
          <w:p>
            <w:pPr>
              <w:spacing w:after="0" w:line="276" w:lineRule="auto"/>
            </w:pPr>
            <w:r>
              <w:t>工作日 9:00—18:00</w:t>
            </w:r>
          </w:p>
        </w:tc>
      </w:tr>
      <w:tr>
        <w:trPr>
          <w:cantSplit/>
        </w:trPr>
        <w:tc>
          <w:tcPr>
            <w:tcW w:type="dxa" w:w="1134"/>
            <w:vAlign w:val="center"/>
            <w:tcMar>
              <w:top w:w="60" w:type="dxa"/>
              <w:start w:w="90" w:type="dxa"/>
              <w:bottom w:w="60" w:type="dxa"/>
              <w:end w:w="90" w:type="dxa"/>
            </w:tcMar>
          </w:tcPr>
          <w:p>
            <w:pPr>
              <w:spacing w:after="0" w:line="276" w:lineRule="auto"/>
            </w:pPr>
            <w:r>
              <w:t>P4 低</w:t>
            </w:r>
          </w:p>
        </w:tc>
        <w:tc>
          <w:tcPr>
            <w:tcW w:type="dxa" w:w="3628"/>
            <w:vAlign w:val="center"/>
            <w:tcMar>
              <w:top w:w="60" w:type="dxa"/>
              <w:start w:w="90" w:type="dxa"/>
              <w:bottom w:w="60" w:type="dxa"/>
              <w:end w:w="90" w:type="dxa"/>
            </w:tcMar>
          </w:tcPr>
          <w:p>
            <w:pPr>
              <w:spacing w:after="0" w:line="276" w:lineRule="auto"/>
            </w:pPr>
            <w:r>
              <w:t>一般咨询、界面问题、功能建议</w:t>
            </w:r>
          </w:p>
        </w:tc>
        <w:tc>
          <w:tcPr>
            <w:tcW w:type="dxa" w:w="1247"/>
            <w:vAlign w:val="center"/>
            <w:tcMar>
              <w:top w:w="60" w:type="dxa"/>
              <w:start w:w="90" w:type="dxa"/>
              <w:bottom w:w="60" w:type="dxa"/>
              <w:end w:w="90" w:type="dxa"/>
            </w:tcMar>
          </w:tcPr>
          <w:p>
            <w:pPr>
              <w:spacing w:after="0" w:line="276" w:lineRule="auto"/>
            </w:pPr>
            <w:r>
              <w:t>1 个工作日</w:t>
            </w:r>
          </w:p>
        </w:tc>
        <w:tc>
          <w:tcPr>
            <w:tcW w:type="dxa" w:w="2268"/>
            <w:vAlign w:val="center"/>
            <w:tcMar>
              <w:top w:w="60" w:type="dxa"/>
              <w:start w:w="90" w:type="dxa"/>
              <w:bottom w:w="60" w:type="dxa"/>
              <w:end w:w="90" w:type="dxa"/>
            </w:tcMar>
          </w:tcPr>
          <w:p>
            <w:pPr>
              <w:spacing w:after="0" w:line="276" w:lineRule="auto"/>
            </w:pPr>
            <w:r>
              <w:t>5 个工作日内答复或安排</w:t>
            </w:r>
          </w:p>
        </w:tc>
        <w:tc>
          <w:tcPr>
            <w:tcW w:type="dxa" w:w="1361"/>
            <w:vAlign w:val="center"/>
            <w:tcMar>
              <w:top w:w="60" w:type="dxa"/>
              <w:start w:w="90" w:type="dxa"/>
              <w:bottom w:w="60" w:type="dxa"/>
              <w:end w:w="90" w:type="dxa"/>
            </w:tcMar>
          </w:tcPr>
          <w:p>
            <w:pPr>
              <w:spacing w:after="0" w:line="276" w:lineRule="auto"/>
            </w:pPr>
            <w:r>
              <w:t>工作日 9:00—18:00</w:t>
            </w:r>
          </w:p>
        </w:tc>
      </w:tr>
    </w:tbl>
    <w:p>
      <w:pPr>
        <w:spacing w:after="60" w:line="300" w:lineRule="auto"/>
      </w:pPr>
      <w:r/>
    </w:p>
    <w:p>
      <w:pPr>
        <w:keepNext w:val="0"/>
        <w:spacing w:before="0" w:after="60" w:line="300" w:lineRule="auto"/>
      </w:pPr>
      <w:r>
        <w:t>响应时间自乙方收到甲方通过约定渠道提交的工单时起算；恢复目标不适用于因甲方原因、不可抗力或依赖第三方且乙方已尽合理努力的情形。</w:t>
      </w:r>
    </w:p>
    <w:p>
      <w:pPr>
        <w:pStyle w:val="Heading2"/>
      </w:pPr>
      <w:r>
        <w:t>三、服务抵扣</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3969"/>
            <w:vAlign w:val="center"/>
            <w:tcMar>
              <w:top w:w="60" w:type="dxa"/>
              <w:start w:w="90" w:type="dxa"/>
              <w:bottom w:w="60" w:type="dxa"/>
              <w:end w:w="90" w:type="dxa"/>
            </w:tcMar>
            <w:shd w:fill="1F4E79"/>
          </w:tcPr>
          <w:p>
            <w:pPr>
              <w:spacing w:after="0"/>
              <w:jc w:val="center"/>
            </w:pPr>
            <w:r>
              <w:t>月度可用性</w:t>
            </w:r>
          </w:p>
        </w:tc>
        <w:tc>
          <w:tcPr>
            <w:tcW w:type="dxa" w:w="3402"/>
            <w:vAlign w:val="center"/>
            <w:tcMar>
              <w:top w:w="60" w:type="dxa"/>
              <w:start w:w="90" w:type="dxa"/>
              <w:bottom w:w="60" w:type="dxa"/>
              <w:end w:w="90" w:type="dxa"/>
            </w:tcMar>
            <w:shd w:fill="1F4E79"/>
          </w:tcPr>
          <w:p>
            <w:pPr>
              <w:spacing w:after="0"/>
              <w:jc w:val="center"/>
            </w:pPr>
            <w:r>
              <w:t>抵扣比例（当月服务费）</w:t>
            </w:r>
          </w:p>
        </w:tc>
      </w:tr>
      <w:tr>
        <w:trPr>
          <w:cantSplit/>
        </w:trPr>
        <w:tc>
          <w:tcPr>
            <w:tcW w:type="dxa" w:w="3969"/>
            <w:vAlign w:val="center"/>
            <w:tcMar>
              <w:top w:w="60" w:type="dxa"/>
              <w:start w:w="90" w:type="dxa"/>
              <w:bottom w:w="60" w:type="dxa"/>
              <w:end w:w="90" w:type="dxa"/>
            </w:tcMar>
          </w:tcPr>
          <w:p>
            <w:pPr>
              <w:spacing w:after="0" w:line="276" w:lineRule="auto"/>
            </w:pPr>
            <w:r>
              <w:t>≥ 99.9%</w:t>
            </w:r>
          </w:p>
        </w:tc>
        <w:tc>
          <w:tcPr>
            <w:tcW w:type="dxa" w:w="3402"/>
            <w:vAlign w:val="center"/>
            <w:tcMar>
              <w:top w:w="60" w:type="dxa"/>
              <w:start w:w="90" w:type="dxa"/>
              <w:bottom w:w="60" w:type="dxa"/>
              <w:end w:w="90" w:type="dxa"/>
            </w:tcMar>
          </w:tcPr>
          <w:p>
            <w:pPr>
              <w:spacing w:after="0" w:line="276" w:lineRule="auto"/>
            </w:pPr>
            <w:r>
              <w:t>无</w:t>
            </w:r>
          </w:p>
        </w:tc>
      </w:tr>
      <w:tr>
        <w:trPr>
          <w:cantSplit/>
        </w:trPr>
        <w:tc>
          <w:tcPr>
            <w:tcW w:type="dxa" w:w="3969"/>
            <w:vAlign w:val="center"/>
            <w:tcMar>
              <w:top w:w="60" w:type="dxa"/>
              <w:start w:w="90" w:type="dxa"/>
              <w:bottom w:w="60" w:type="dxa"/>
              <w:end w:w="90" w:type="dxa"/>
            </w:tcMar>
          </w:tcPr>
          <w:p>
            <w:pPr>
              <w:spacing w:after="0" w:line="276" w:lineRule="auto"/>
            </w:pPr>
            <w:r>
              <w:t>99.5% — &lt; 99.9%</w:t>
            </w:r>
          </w:p>
        </w:tc>
        <w:tc>
          <w:tcPr>
            <w:tcW w:type="dxa" w:w="3402"/>
            <w:vAlign w:val="center"/>
            <w:tcMar>
              <w:top w:w="60" w:type="dxa"/>
              <w:start w:w="90" w:type="dxa"/>
              <w:bottom w:w="60" w:type="dxa"/>
              <w:end w:w="90" w:type="dxa"/>
            </w:tcMar>
          </w:tcPr>
          <w:p>
            <w:pPr>
              <w:spacing w:after="0" w:line="276" w:lineRule="auto"/>
            </w:pPr>
            <w:r>
              <w:t>5%</w:t>
            </w:r>
          </w:p>
        </w:tc>
      </w:tr>
      <w:tr>
        <w:trPr>
          <w:cantSplit/>
        </w:trPr>
        <w:tc>
          <w:tcPr>
            <w:tcW w:type="dxa" w:w="3969"/>
            <w:vAlign w:val="center"/>
            <w:tcMar>
              <w:top w:w="60" w:type="dxa"/>
              <w:start w:w="90" w:type="dxa"/>
              <w:bottom w:w="60" w:type="dxa"/>
              <w:end w:w="90" w:type="dxa"/>
            </w:tcMar>
          </w:tcPr>
          <w:p>
            <w:pPr>
              <w:spacing w:after="0" w:line="276" w:lineRule="auto"/>
            </w:pPr>
            <w:r>
              <w:t>99.0% — &lt; 99.5%</w:t>
            </w:r>
          </w:p>
        </w:tc>
        <w:tc>
          <w:tcPr>
            <w:tcW w:type="dxa" w:w="3402"/>
            <w:vAlign w:val="center"/>
            <w:tcMar>
              <w:top w:w="60" w:type="dxa"/>
              <w:start w:w="90" w:type="dxa"/>
              <w:bottom w:w="60" w:type="dxa"/>
              <w:end w:w="90" w:type="dxa"/>
            </w:tcMar>
          </w:tcPr>
          <w:p>
            <w:pPr>
              <w:spacing w:after="0" w:line="276" w:lineRule="auto"/>
            </w:pPr>
            <w:r>
              <w:t>10%</w:t>
            </w:r>
          </w:p>
        </w:tc>
      </w:tr>
      <w:tr>
        <w:trPr>
          <w:cantSplit/>
        </w:trPr>
        <w:tc>
          <w:tcPr>
            <w:tcW w:type="dxa" w:w="3969"/>
            <w:vAlign w:val="center"/>
            <w:tcMar>
              <w:top w:w="60" w:type="dxa"/>
              <w:start w:w="90" w:type="dxa"/>
              <w:bottom w:w="60" w:type="dxa"/>
              <w:end w:w="90" w:type="dxa"/>
            </w:tcMar>
          </w:tcPr>
          <w:p>
            <w:pPr>
              <w:spacing w:after="0" w:line="276" w:lineRule="auto"/>
            </w:pPr>
            <w:r>
              <w:t>98.0% — &lt; 99.0%</w:t>
            </w:r>
          </w:p>
        </w:tc>
        <w:tc>
          <w:tcPr>
            <w:tcW w:type="dxa" w:w="3402"/>
            <w:vAlign w:val="center"/>
            <w:tcMar>
              <w:top w:w="60" w:type="dxa"/>
              <w:start w:w="90" w:type="dxa"/>
              <w:bottom w:w="60" w:type="dxa"/>
              <w:end w:w="90" w:type="dxa"/>
            </w:tcMar>
          </w:tcPr>
          <w:p>
            <w:pPr>
              <w:spacing w:after="0" w:line="276" w:lineRule="auto"/>
            </w:pPr>
            <w:r>
              <w:t>15%</w:t>
            </w:r>
          </w:p>
        </w:tc>
      </w:tr>
      <w:tr>
        <w:trPr>
          <w:cantSplit/>
        </w:trPr>
        <w:tc>
          <w:tcPr>
            <w:tcW w:type="dxa" w:w="3969"/>
            <w:vAlign w:val="center"/>
            <w:tcMar>
              <w:top w:w="60" w:type="dxa"/>
              <w:start w:w="90" w:type="dxa"/>
              <w:bottom w:w="60" w:type="dxa"/>
              <w:end w:w="90" w:type="dxa"/>
            </w:tcMar>
          </w:tcPr>
          <w:p>
            <w:pPr>
              <w:spacing w:after="0" w:line="276" w:lineRule="auto"/>
            </w:pPr>
            <w:r>
              <w:t>&lt; 98.0%</w:t>
            </w:r>
          </w:p>
        </w:tc>
        <w:tc>
          <w:tcPr>
            <w:tcW w:type="dxa" w:w="3402"/>
            <w:vAlign w:val="center"/>
            <w:tcMar>
              <w:top w:w="60" w:type="dxa"/>
              <w:start w:w="90" w:type="dxa"/>
              <w:bottom w:w="60" w:type="dxa"/>
              <w:end w:w="90" w:type="dxa"/>
            </w:tcMar>
          </w:tcPr>
          <w:p>
            <w:pPr>
              <w:spacing w:after="0" w:line="276" w:lineRule="auto"/>
            </w:pPr>
            <w:r>
              <w:t>25%</w:t>
            </w:r>
          </w:p>
        </w:tc>
      </w:tr>
    </w:tbl>
    <w:p>
      <w:pPr>
        <w:spacing w:after="60" w:line="300" w:lineRule="auto"/>
      </w:pPr>
      <w:r/>
    </w:p>
    <w:p>
      <w:pPr>
        <w:keepNext w:val="0"/>
        <w:spacing w:before="0" w:after="60" w:line="300" w:lineRule="auto"/>
      </w:pPr>
      <w:r>
        <w:t>3.1 单月抵扣不超过当月服务费的 25%；服务期内累计抵扣不超过年度服务费的 20%。抵扣在下一期账单中扣减，或在合同终止后三十（30）日内退还。</w:t>
      </w:r>
    </w:p>
    <w:p>
      <w:pPr>
        <w:keepNext w:val="0"/>
        <w:spacing w:before="0" w:after="60" w:line="300" w:lineRule="auto"/>
      </w:pPr>
      <w:r>
        <w:t>3.2 甲方应在相关月份结束后三十（30）日内提交抵扣申请，说明故障时间、影响和计算依据；乙方应在十（10）个工作日内核实并书面确认。乙方无正当理由逾期未确认的，视为同意。</w:t>
      </w:r>
    </w:p>
    <w:p>
      <w:pPr>
        <w:keepNext w:val="0"/>
        <w:spacing w:before="0" w:after="60" w:line="300" w:lineRule="auto"/>
      </w:pPr>
      <w:r>
        <w:t>3.3 抵扣不构成对数据泄露、知识产权侵权、故意或重大过失或其他重大违约的唯一救济；甲方仍可依法主张救济。</w:t>
      </w:r>
    </w:p>
    <w:p>
      <w:pPr>
        <w:keepNext w:val="0"/>
        <w:spacing w:before="0" w:after="60" w:line="300" w:lineRule="auto"/>
      </w:pPr>
      <w:r>
        <w:t>3.4 持续违约触发和解除通知按主合同第 5.4、13.3 条执行；甲方有权在约定触发情形出现时发出解除通知，不再另加三十日等待期，并可要求退还未使用期间预付款。</w:t>
      </w:r>
    </w:p>
    <w:p>
      <w:pPr>
        <w:pStyle w:val="Heading2"/>
      </w:pPr>
      <w:r>
        <w:t>四、报告与审计</w:t>
      </w:r>
    </w:p>
    <w:p>
      <w:pPr>
        <w:keepNext w:val="0"/>
        <w:spacing w:before="0" w:after="60" w:line="300" w:lineRule="auto"/>
      </w:pPr>
      <w:r>
        <w:t>4.1 乙方应于每月结束后十（10）个工作日内向甲方提交月度服务报告，包括可用性、故障、响应、恢复、抵扣和整改情况。</w:t>
      </w:r>
    </w:p>
    <w:p>
      <w:pPr>
        <w:keepNext w:val="0"/>
        <w:spacing w:before="0" w:after="60" w:line="300" w:lineRule="auto"/>
      </w:pPr>
      <w:r>
        <w:t>4.2 甲方有权每年一次（或发生重大故障后）对乙方的 SLA 记录进行审计，提前十（10）个工作日通知；审计不得影响服务正常运行。</w:t>
      </w:r>
    </w:p>
    <w:p>
      <w:pPr>
        <w:spacing w:after="60" w:line="300" w:lineRule="auto"/>
      </w:pPr>
      <w:r/>
    </w:p>
    <w:p>
      <w:pPr>
        <w:pStyle w:val="Heading1"/>
      </w:pPr>
      <w:r>
        <w:t>附件四  数据处理附表（DPA）</w:t>
      </w:r>
    </w:p>
    <w:p>
      <w:pPr>
        <w:keepNext w:val="0"/>
        <w:spacing w:before="0" w:after="60" w:line="300" w:lineRule="auto"/>
      </w:pPr>
      <w:r>
        <w:t>本附表适用于服务涉及个人信息或客户数据的情形。涉及敏感个人信息、重要数据、跨境传输或大规模处理的，应暂停并完成专项评估，不得仅以本附表替代。</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381"/>
            <w:vAlign w:val="center"/>
            <w:tcMar>
              <w:top w:w="60" w:type="dxa"/>
              <w:start w:w="90" w:type="dxa"/>
              <w:bottom w:w="60" w:type="dxa"/>
              <w:end w:w="90" w:type="dxa"/>
            </w:tcMar>
            <w:shd w:fill="1F4E79"/>
          </w:tcPr>
          <w:p>
            <w:pPr>
              <w:spacing w:after="0"/>
              <w:jc w:val="center"/>
            </w:pPr>
            <w:r>
              <w:t>项目</w:t>
            </w:r>
          </w:p>
        </w:tc>
        <w:tc>
          <w:tcPr>
            <w:tcW w:type="dxa" w:w="6123"/>
            <w:vAlign w:val="center"/>
            <w:tcMar>
              <w:top w:w="60" w:type="dxa"/>
              <w:start w:w="90" w:type="dxa"/>
              <w:bottom w:w="60" w:type="dxa"/>
              <w:end w:w="90" w:type="dxa"/>
            </w:tcMar>
            <w:shd w:fill="1F4E79"/>
          </w:tcPr>
          <w:p>
            <w:pPr>
              <w:spacing w:after="0"/>
              <w:jc w:val="center"/>
            </w:pPr>
            <w:r>
              <w:t>内容</w:t>
            </w:r>
          </w:p>
        </w:tc>
      </w:tr>
      <w:tr>
        <w:trPr>
          <w:cantSplit/>
        </w:trPr>
        <w:tc>
          <w:tcPr>
            <w:tcW w:type="dxa" w:w="2381"/>
            <w:vAlign w:val="center"/>
            <w:tcMar>
              <w:top w:w="60" w:type="dxa"/>
              <w:start w:w="90" w:type="dxa"/>
              <w:bottom w:w="60" w:type="dxa"/>
              <w:end w:w="90" w:type="dxa"/>
            </w:tcMar>
          </w:tcPr>
          <w:p>
            <w:pPr>
              <w:spacing w:after="0" w:line="276" w:lineRule="auto"/>
            </w:pPr>
            <w:r>
              <w:t>处理关系</w:t>
            </w:r>
          </w:p>
        </w:tc>
        <w:tc>
          <w:tcPr>
            <w:tcW w:type="dxa" w:w="6123"/>
            <w:vAlign w:val="center"/>
            <w:tcMar>
              <w:top w:w="60" w:type="dxa"/>
              <w:start w:w="90" w:type="dxa"/>
              <w:bottom w:w="60" w:type="dxa"/>
              <w:end w:w="90" w:type="dxa"/>
            </w:tcMar>
          </w:tcPr>
          <w:p>
            <w:pPr>
              <w:spacing w:after="0" w:line="276" w:lineRule="auto"/>
            </w:pPr>
            <w:r>
              <w:t>甲方为个人信息处理者；乙方为受托人（如乙方独立决定目的和方式，则另行判断）</w:t>
            </w:r>
          </w:p>
        </w:tc>
      </w:tr>
      <w:tr>
        <w:trPr>
          <w:cantSplit/>
        </w:trPr>
        <w:tc>
          <w:tcPr>
            <w:tcW w:type="dxa" w:w="2381"/>
            <w:vAlign w:val="center"/>
            <w:tcMar>
              <w:top w:w="60" w:type="dxa"/>
              <w:start w:w="90" w:type="dxa"/>
              <w:bottom w:w="60" w:type="dxa"/>
              <w:end w:w="90" w:type="dxa"/>
            </w:tcMar>
          </w:tcPr>
          <w:p>
            <w:pPr>
              <w:spacing w:after="0" w:line="276" w:lineRule="auto"/>
            </w:pPr>
            <w:r>
              <w:t>处理目的</w:t>
            </w:r>
          </w:p>
        </w:tc>
        <w:tc>
          <w:tcPr>
            <w:tcW w:type="dxa" w:w="6123"/>
            <w:vAlign w:val="center"/>
            <w:tcMar>
              <w:top w:w="60" w:type="dxa"/>
              <w:start w:w="90" w:type="dxa"/>
              <w:bottom w:w="60" w:type="dxa"/>
              <w:end w:w="90" w:type="dxa"/>
            </w:tcMar>
          </w:tcPr>
          <w:p>
            <w:pPr>
              <w:spacing w:after="0" w:line="276" w:lineRule="auto"/>
            </w:pPr>
            <w:r>
              <w:t>仅为提供、维护、支持和保障本合同项下 SaaS 服务</w:t>
            </w:r>
          </w:p>
        </w:tc>
      </w:tr>
      <w:tr>
        <w:trPr>
          <w:cantSplit/>
        </w:trPr>
        <w:tc>
          <w:tcPr>
            <w:tcW w:type="dxa" w:w="2381"/>
            <w:vAlign w:val="center"/>
            <w:tcMar>
              <w:top w:w="60" w:type="dxa"/>
              <w:start w:w="90" w:type="dxa"/>
              <w:bottom w:w="60" w:type="dxa"/>
              <w:end w:w="90" w:type="dxa"/>
            </w:tcMar>
          </w:tcPr>
          <w:p>
            <w:pPr>
              <w:spacing w:after="0" w:line="276" w:lineRule="auto"/>
            </w:pPr>
            <w:r>
              <w:t>处理期限</w:t>
            </w:r>
          </w:p>
        </w:tc>
        <w:tc>
          <w:tcPr>
            <w:tcW w:type="dxa" w:w="6123"/>
            <w:vAlign w:val="center"/>
            <w:tcMar>
              <w:top w:w="60" w:type="dxa"/>
              <w:start w:w="90" w:type="dxa"/>
              <w:bottom w:w="60" w:type="dxa"/>
              <w:end w:w="90" w:type="dxa"/>
            </w:tcMar>
          </w:tcPr>
          <w:p>
            <w:pPr>
              <w:spacing w:after="0" w:line="276" w:lineRule="auto"/>
            </w:pPr>
            <w:r>
              <w:t>订阅期及退出期内为履行合同所必需的期间；终止后按主合同第 14 条及本附表第七节返还或删除</w:t>
            </w:r>
          </w:p>
        </w:tc>
      </w:tr>
      <w:tr>
        <w:trPr>
          <w:cantSplit/>
        </w:trPr>
        <w:tc>
          <w:tcPr>
            <w:tcW w:type="dxa" w:w="2381"/>
            <w:vAlign w:val="center"/>
            <w:tcMar>
              <w:top w:w="60" w:type="dxa"/>
              <w:start w:w="90" w:type="dxa"/>
              <w:bottom w:w="60" w:type="dxa"/>
              <w:end w:w="90" w:type="dxa"/>
            </w:tcMar>
          </w:tcPr>
          <w:p>
            <w:pPr>
              <w:spacing w:after="0" w:line="276" w:lineRule="auto"/>
            </w:pPr>
            <w:r>
              <w:t>数据主体</w:t>
            </w:r>
          </w:p>
        </w:tc>
        <w:tc>
          <w:tcPr>
            <w:tcW w:type="dxa" w:w="6123"/>
            <w:vAlign w:val="center"/>
            <w:tcMar>
              <w:top w:w="60" w:type="dxa"/>
              <w:start w:w="90" w:type="dxa"/>
              <w:bottom w:w="60" w:type="dxa"/>
              <w:end w:w="90" w:type="dxa"/>
            </w:tcMar>
          </w:tcPr>
          <w:p>
            <w:pPr>
              <w:spacing w:after="0" w:line="276" w:lineRule="auto"/>
            </w:pPr>
            <w:r>
              <w:t>甲方员工、承包商、客户联系人或其他经甲方授权的人员</w:t>
            </w:r>
          </w:p>
        </w:tc>
      </w:tr>
      <w:tr>
        <w:trPr>
          <w:cantSplit/>
        </w:trPr>
        <w:tc>
          <w:tcPr>
            <w:tcW w:type="dxa" w:w="2381"/>
            <w:vAlign w:val="center"/>
            <w:tcMar>
              <w:top w:w="60" w:type="dxa"/>
              <w:start w:w="90" w:type="dxa"/>
              <w:bottom w:w="60" w:type="dxa"/>
              <w:end w:w="90" w:type="dxa"/>
            </w:tcMar>
          </w:tcPr>
          <w:p>
            <w:pPr>
              <w:spacing w:after="0" w:line="276" w:lineRule="auto"/>
            </w:pPr>
            <w:r>
              <w:t>数据类别</w:t>
            </w:r>
          </w:p>
        </w:tc>
        <w:tc>
          <w:tcPr>
            <w:tcW w:type="dxa" w:w="6123"/>
            <w:vAlign w:val="center"/>
            <w:tcMar>
              <w:top w:w="60" w:type="dxa"/>
              <w:start w:w="90" w:type="dxa"/>
              <w:bottom w:w="60" w:type="dxa"/>
              <w:end w:w="90" w:type="dxa"/>
            </w:tcMar>
          </w:tcPr>
          <w:p>
            <w:pPr>
              <w:spacing w:after="0" w:line="276" w:lineRule="auto"/>
            </w:pPr>
            <w:r>
              <w:t>【姓名、工作邮箱、电话、组织架构、登录日志、工单记录；是否含敏感个人信息：否/是（如是，转专项）】</w:t>
            </w:r>
          </w:p>
        </w:tc>
      </w:tr>
      <w:tr>
        <w:trPr>
          <w:cantSplit/>
        </w:trPr>
        <w:tc>
          <w:tcPr>
            <w:tcW w:type="dxa" w:w="2381"/>
            <w:vAlign w:val="center"/>
            <w:tcMar>
              <w:top w:w="60" w:type="dxa"/>
              <w:start w:w="90" w:type="dxa"/>
              <w:bottom w:w="60" w:type="dxa"/>
              <w:end w:w="90" w:type="dxa"/>
            </w:tcMar>
          </w:tcPr>
          <w:p>
            <w:pPr>
              <w:spacing w:after="0" w:line="276" w:lineRule="auto"/>
            </w:pPr>
            <w:r>
              <w:t>存储位置</w:t>
            </w:r>
          </w:p>
        </w:tc>
        <w:tc>
          <w:tcPr>
            <w:tcW w:type="dxa" w:w="6123"/>
            <w:vAlign w:val="center"/>
            <w:tcMar>
              <w:top w:w="60" w:type="dxa"/>
              <w:start w:w="90" w:type="dxa"/>
              <w:bottom w:w="60" w:type="dxa"/>
              <w:end w:w="90" w:type="dxa"/>
            </w:tcMar>
          </w:tcPr>
          <w:p>
            <w:pPr>
              <w:spacing w:after="0" w:line="276" w:lineRule="auto"/>
            </w:pPr>
            <w:r>
              <w:t>中华人民共和国境内【具体区域】；不得境外存储或境外访问，除非另行书面同意并完成法定程序</w:t>
            </w:r>
          </w:p>
        </w:tc>
      </w:tr>
      <w:tr>
        <w:trPr>
          <w:cantSplit/>
        </w:trPr>
        <w:tc>
          <w:tcPr>
            <w:tcW w:type="dxa" w:w="2381"/>
            <w:vAlign w:val="center"/>
            <w:tcMar>
              <w:top w:w="60" w:type="dxa"/>
              <w:start w:w="90" w:type="dxa"/>
              <w:bottom w:w="60" w:type="dxa"/>
              <w:end w:w="90" w:type="dxa"/>
            </w:tcMar>
          </w:tcPr>
          <w:p>
            <w:pPr>
              <w:spacing w:after="0" w:line="276" w:lineRule="auto"/>
            </w:pPr>
            <w:r>
              <w:t>访问地点</w:t>
            </w:r>
          </w:p>
        </w:tc>
        <w:tc>
          <w:tcPr>
            <w:tcW w:type="dxa" w:w="6123"/>
            <w:vAlign w:val="center"/>
            <w:tcMar>
              <w:top w:w="60" w:type="dxa"/>
              <w:start w:w="90" w:type="dxa"/>
              <w:bottom w:w="60" w:type="dxa"/>
              <w:end w:w="90" w:type="dxa"/>
            </w:tcMar>
          </w:tcPr>
          <w:p>
            <w:pPr>
              <w:spacing w:after="0" w:line="276" w:lineRule="auto"/>
            </w:pPr>
            <w:r>
              <w:t>中华人民共和国境内；远程运维不得跨境</w:t>
            </w:r>
          </w:p>
        </w:tc>
      </w:tr>
      <w:tr>
        <w:trPr>
          <w:cantSplit/>
        </w:trPr>
        <w:tc>
          <w:tcPr>
            <w:tcW w:type="dxa" w:w="2381"/>
            <w:vAlign w:val="center"/>
            <w:tcMar>
              <w:top w:w="60" w:type="dxa"/>
              <w:start w:w="90" w:type="dxa"/>
              <w:bottom w:w="60" w:type="dxa"/>
              <w:end w:w="90" w:type="dxa"/>
            </w:tcMar>
          </w:tcPr>
          <w:p>
            <w:pPr>
              <w:spacing w:after="0" w:line="276" w:lineRule="auto"/>
            </w:pPr>
            <w:r>
              <w:t>处理方式</w:t>
            </w:r>
          </w:p>
        </w:tc>
        <w:tc>
          <w:tcPr>
            <w:tcW w:type="dxa" w:w="6123"/>
            <w:vAlign w:val="center"/>
            <w:tcMar>
              <w:top w:w="60" w:type="dxa"/>
              <w:start w:w="90" w:type="dxa"/>
              <w:bottom w:w="60" w:type="dxa"/>
              <w:end w:w="90" w:type="dxa"/>
            </w:tcMar>
          </w:tcPr>
          <w:p>
            <w:pPr>
              <w:spacing w:after="0" w:line="276" w:lineRule="auto"/>
            </w:pPr>
            <w:r>
              <w:t>收集、存储、检索、传输、整理、删除；不得用于模型训练、广告或与服务无关的目的</w:t>
            </w:r>
          </w:p>
        </w:tc>
      </w:tr>
      <w:tr>
        <w:trPr>
          <w:cantSplit/>
        </w:trPr>
        <w:tc>
          <w:tcPr>
            <w:tcW w:type="dxa" w:w="2381"/>
            <w:vAlign w:val="center"/>
            <w:tcMar>
              <w:top w:w="60" w:type="dxa"/>
              <w:start w:w="90" w:type="dxa"/>
              <w:bottom w:w="60" w:type="dxa"/>
              <w:end w:w="90" w:type="dxa"/>
            </w:tcMar>
          </w:tcPr>
          <w:p>
            <w:pPr>
              <w:spacing w:after="0" w:line="276" w:lineRule="auto"/>
            </w:pPr>
            <w:r>
              <w:t>保留期限</w:t>
            </w:r>
          </w:p>
        </w:tc>
        <w:tc>
          <w:tcPr>
            <w:tcW w:type="dxa" w:w="6123"/>
            <w:vAlign w:val="center"/>
            <w:tcMar>
              <w:top w:w="60" w:type="dxa"/>
              <w:start w:w="90" w:type="dxa"/>
              <w:bottom w:w="60" w:type="dxa"/>
              <w:end w:w="90" w:type="dxa"/>
            </w:tcMar>
          </w:tcPr>
          <w:p>
            <w:pPr>
              <w:spacing w:after="0" w:line="276" w:lineRule="auto"/>
            </w:pPr>
            <w:r>
              <w:t>订阅期及有合法依据、最短必要的返还迁移期；不再必要时删除或返还</w:t>
            </w:r>
          </w:p>
        </w:tc>
      </w:tr>
    </w:tbl>
    <w:p>
      <w:pPr>
        <w:spacing w:after="60" w:line="300" w:lineRule="auto"/>
      </w:pPr>
      <w:r/>
    </w:p>
    <w:p>
      <w:pPr>
        <w:pStyle w:val="Heading2"/>
      </w:pPr>
      <w:r>
        <w:t>一、处理指示与保密</w:t>
      </w:r>
    </w:p>
    <w:p>
      <w:pPr>
        <w:keepNext w:val="0"/>
        <w:spacing w:before="0" w:after="60" w:line="300" w:lineRule="auto"/>
      </w:pPr>
      <w:r>
        <w:t>1.1 乙方仅按甲方书面指示和本合同处理个人数据，不得超出约定目的、范围或期限。乙方应将处理限制在必要知悉的员工和分包商范围内，并确保其承担保密义务。</w:t>
      </w:r>
    </w:p>
    <w:p>
      <w:pPr>
        <w:keepNext w:val="0"/>
        <w:spacing w:before="0" w:after="60" w:line="300" w:lineRule="auto"/>
      </w:pPr>
      <w:r>
        <w:t>1.2 乙方不得出售、出租、交换个人数据，不得将个人数据用于广告、用户画像、模型训练或与服务无关的分析。</w:t>
      </w:r>
    </w:p>
    <w:p>
      <w:pPr>
        <w:pStyle w:val="Heading2"/>
      </w:pPr>
      <w:r>
        <w:t>二、安全措施</w:t>
      </w:r>
    </w:p>
    <w:p>
      <w:pPr>
        <w:keepNext w:val="0"/>
        <w:spacing w:before="0" w:after="60" w:line="300" w:lineRule="auto"/>
      </w:pPr>
      <w:r>
        <w:t>2.1 乙方应采取与风险相适应的技术和组织措施，包括：访问控制与最小权限、传输和存储加密、日志审计、漏洞管理、补丁管理、备份与恢复、员工安全培训、物理环境安全、事件响应和业务连续性安排。</w:t>
      </w:r>
    </w:p>
    <w:p>
      <w:pPr>
        <w:keepNext w:val="0"/>
        <w:spacing w:before="0" w:after="60" w:line="300" w:lineRule="auto"/>
      </w:pPr>
      <w:r>
        <w:t>2.2 乙方应定期评估安全风险，并在发生重大变化时更新措施；甲方合理要求时，乙方应提供安全说明或第三方审计报告。</w:t>
      </w:r>
    </w:p>
    <w:p>
      <w:pPr>
        <w:pStyle w:val="Heading2"/>
      </w:pPr>
      <w:r>
        <w:t>三、分包与跨境</w:t>
      </w:r>
    </w:p>
    <w:p>
      <w:pPr>
        <w:keepNext w:val="0"/>
        <w:spacing w:before="0" w:after="60" w:line="300" w:lineRule="auto"/>
      </w:pPr>
      <w:r>
        <w:t>3.1 未经甲方事先书面同意，乙方不得将个人数据处理转委托。经同意转委托的，乙方应与分包商签署不低于本附表的保护义务，并对其行为承担全部责任。</w:t>
      </w:r>
    </w:p>
    <w:p>
      <w:pPr>
        <w:keepNext w:val="0"/>
        <w:spacing w:before="0" w:after="60" w:line="300" w:lineRule="auto"/>
      </w:pPr>
      <w:r>
        <w:t>3.2 分包商清单见下表；分包商变更应提前三十（30）日通知，甲方有权基于数据安全或合规理由合理反对。</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882"/>
        <w:gridCol w:w="1882"/>
        <w:gridCol w:w="1882"/>
        <w:gridCol w:w="1882"/>
        <w:gridCol w:w="1882"/>
      </w:tblGrid>
      <w:tr>
        <w:trPr>
          <w:tblHeader w:val="true"/>
        </w:trPr>
        <w:tc>
          <w:tcPr>
            <w:tcW w:type="dxa" w:w="1814"/>
            <w:vAlign w:val="center"/>
            <w:tcMar>
              <w:top w:w="60" w:type="dxa"/>
              <w:start w:w="90" w:type="dxa"/>
              <w:bottom w:w="60" w:type="dxa"/>
              <w:end w:w="90" w:type="dxa"/>
            </w:tcMar>
            <w:shd w:fill="1F4E79"/>
          </w:tcPr>
          <w:p>
            <w:pPr>
              <w:spacing w:after="0"/>
              <w:jc w:val="center"/>
            </w:pPr>
            <w:r>
              <w:t>分包商</w:t>
            </w:r>
          </w:p>
        </w:tc>
        <w:tc>
          <w:tcPr>
            <w:tcW w:type="dxa" w:w="1134"/>
            <w:vAlign w:val="center"/>
            <w:tcMar>
              <w:top w:w="60" w:type="dxa"/>
              <w:start w:w="90" w:type="dxa"/>
              <w:bottom w:w="60" w:type="dxa"/>
              <w:end w:w="90" w:type="dxa"/>
            </w:tcMar>
            <w:shd w:fill="1F4E79"/>
          </w:tcPr>
          <w:p>
            <w:pPr>
              <w:spacing w:after="0"/>
              <w:jc w:val="center"/>
            </w:pPr>
            <w:r>
              <w:t>所在地</w:t>
            </w:r>
          </w:p>
        </w:tc>
        <w:tc>
          <w:tcPr>
            <w:tcW w:type="dxa" w:w="2041"/>
            <w:vAlign w:val="center"/>
            <w:tcMar>
              <w:top w:w="60" w:type="dxa"/>
              <w:start w:w="90" w:type="dxa"/>
              <w:bottom w:w="60" w:type="dxa"/>
              <w:end w:w="90" w:type="dxa"/>
            </w:tcMar>
            <w:shd w:fill="1F4E79"/>
          </w:tcPr>
          <w:p>
            <w:pPr>
              <w:spacing w:after="0"/>
              <w:jc w:val="center"/>
            </w:pPr>
            <w:r>
              <w:t>服务内容</w:t>
            </w:r>
          </w:p>
        </w:tc>
        <w:tc>
          <w:tcPr>
            <w:tcW w:type="dxa" w:w="1814"/>
            <w:vAlign w:val="center"/>
            <w:tcMar>
              <w:top w:w="60" w:type="dxa"/>
              <w:start w:w="90" w:type="dxa"/>
              <w:bottom w:w="60" w:type="dxa"/>
              <w:end w:w="90" w:type="dxa"/>
            </w:tcMar>
            <w:shd w:fill="1F4E79"/>
          </w:tcPr>
          <w:p>
            <w:pPr>
              <w:spacing w:after="0"/>
              <w:jc w:val="center"/>
            </w:pPr>
            <w:r>
              <w:t>接触的数据</w:t>
            </w:r>
          </w:p>
        </w:tc>
        <w:tc>
          <w:tcPr>
            <w:tcW w:type="dxa" w:w="1701"/>
            <w:vAlign w:val="center"/>
            <w:tcMar>
              <w:top w:w="60" w:type="dxa"/>
              <w:start w:w="90" w:type="dxa"/>
              <w:bottom w:w="60" w:type="dxa"/>
              <w:end w:w="90" w:type="dxa"/>
            </w:tcMar>
            <w:shd w:fill="1F4E79"/>
          </w:tcPr>
          <w:p>
            <w:pPr>
              <w:spacing w:after="0"/>
              <w:jc w:val="center"/>
            </w:pPr>
            <w:r>
              <w:t>安全措施/协议</w:t>
            </w:r>
          </w:p>
        </w:tc>
      </w:tr>
      <w:tr>
        <w:trPr>
          <w:cantSplit/>
        </w:trPr>
        <w:tc>
          <w:tcPr>
            <w:tcW w:type="dxa" w:w="1814"/>
            <w:vAlign w:val="center"/>
            <w:tcMar>
              <w:top w:w="60" w:type="dxa"/>
              <w:start w:w="90" w:type="dxa"/>
              <w:bottom w:w="60" w:type="dxa"/>
              <w:end w:w="90" w:type="dxa"/>
            </w:tcMar>
          </w:tcPr>
          <w:p>
            <w:pPr>
              <w:spacing w:after="0" w:line="276" w:lineRule="auto"/>
            </w:pPr>
            <w:r>
              <w:t>【填写】</w:t>
            </w:r>
          </w:p>
        </w:tc>
        <w:tc>
          <w:tcPr>
            <w:tcW w:type="dxa" w:w="1134"/>
            <w:vAlign w:val="center"/>
            <w:tcMar>
              <w:top w:w="60" w:type="dxa"/>
              <w:start w:w="90" w:type="dxa"/>
              <w:bottom w:w="60" w:type="dxa"/>
              <w:end w:w="90" w:type="dxa"/>
            </w:tcMar>
          </w:tcPr>
          <w:p>
            <w:pPr>
              <w:spacing w:after="0" w:line="276" w:lineRule="auto"/>
            </w:pPr>
            <w:r>
              <w:t>【境内】</w:t>
            </w:r>
          </w:p>
        </w:tc>
        <w:tc>
          <w:tcPr>
            <w:tcW w:type="dxa" w:w="2041"/>
            <w:vAlign w:val="center"/>
            <w:tcMar>
              <w:top w:w="60" w:type="dxa"/>
              <w:start w:w="90" w:type="dxa"/>
              <w:bottom w:w="60" w:type="dxa"/>
              <w:end w:w="90" w:type="dxa"/>
            </w:tcMar>
          </w:tcPr>
          <w:p>
            <w:pPr>
              <w:spacing w:after="0" w:line="276" w:lineRule="auto"/>
            </w:pPr>
            <w:r>
              <w:t>【填写】</w:t>
            </w:r>
          </w:p>
        </w:tc>
        <w:tc>
          <w:tcPr>
            <w:tcW w:type="dxa" w:w="1814"/>
            <w:vAlign w:val="center"/>
            <w:tcMar>
              <w:top w:w="60" w:type="dxa"/>
              <w:start w:w="90" w:type="dxa"/>
              <w:bottom w:w="60" w:type="dxa"/>
              <w:end w:w="90" w:type="dxa"/>
            </w:tcMar>
          </w:tcPr>
          <w:p>
            <w:pPr>
              <w:spacing w:after="0" w:line="276" w:lineRule="auto"/>
            </w:pPr>
            <w:r>
              <w:t>【填写】</w:t>
            </w:r>
          </w:p>
        </w:tc>
        <w:tc>
          <w:tcPr>
            <w:tcW w:type="dxa" w:w="1701"/>
            <w:vAlign w:val="center"/>
            <w:tcMar>
              <w:top w:w="60" w:type="dxa"/>
              <w:start w:w="90" w:type="dxa"/>
              <w:bottom w:w="60" w:type="dxa"/>
              <w:end w:w="90" w:type="dxa"/>
            </w:tcMar>
          </w:tcPr>
          <w:p>
            <w:pPr>
              <w:spacing w:after="0" w:line="276" w:lineRule="auto"/>
            </w:pPr>
            <w:r>
              <w:t>【已签 DPA/日期】</w:t>
            </w:r>
          </w:p>
        </w:tc>
      </w:tr>
    </w:tbl>
    <w:p>
      <w:pPr>
        <w:spacing w:after="60" w:line="300" w:lineRule="auto"/>
      </w:pPr>
      <w:r/>
    </w:p>
    <w:p>
      <w:pPr>
        <w:keepNext w:val="0"/>
        <w:spacing w:before="0" w:after="60" w:line="300" w:lineRule="auto"/>
      </w:pPr>
      <w:r>
        <w:t>3.3 未经甲方事先书面同意并完成法定程序，乙方不得将个人数据传输出境，不得允许境外主体远程访问。</w:t>
      </w:r>
    </w:p>
    <w:p>
      <w:pPr>
        <w:pStyle w:val="Heading2"/>
      </w:pPr>
      <w:r>
        <w:t>四、数据主体权利与协助</w:t>
      </w:r>
    </w:p>
    <w:p>
      <w:pPr>
        <w:keepNext w:val="0"/>
        <w:spacing w:before="0" w:after="60" w:line="300" w:lineRule="auto"/>
      </w:pPr>
      <w:r>
        <w:t>4.1 乙方应提供必要的技术和管理协助，使甲方能够响应个人查阅、复制、更正、删除、撤回同意、转移等请求；乙方不得直接拒绝个人请求，应将请求转交甲方处理，法律另有规定的除外。</w:t>
      </w:r>
    </w:p>
    <w:p>
      <w:pPr>
        <w:keepNext w:val="0"/>
        <w:spacing w:before="0" w:after="60" w:line="300" w:lineRule="auto"/>
      </w:pPr>
      <w:r>
        <w:t>4.2 乙方应协助甲方完成个人信息保护影响评估、合规审计、监管问询和事件调查，提供必要的信息和记录。</w:t>
      </w:r>
    </w:p>
    <w:p>
      <w:pPr>
        <w:pStyle w:val="Heading2"/>
      </w:pPr>
      <w:r>
        <w:t>五、事件与通知</w:t>
      </w:r>
    </w:p>
    <w:p>
      <w:pPr>
        <w:keepNext w:val="0"/>
        <w:spacing w:before="0" w:after="60" w:line="300" w:lineRule="auto"/>
      </w:pPr>
      <w:r>
        <w:t>5.1 发生个人数据泄露、丢失、篡改、未经授权访问或可能发生上述事件的，乙方应立即采取补救措施，并在二十四（24）小时内书面通知甲方，说明涉及的数据类别、范围、原因、已采取措施和后续计划。</w:t>
      </w:r>
    </w:p>
    <w:p>
      <w:pPr>
        <w:keepNext w:val="0"/>
        <w:spacing w:before="0" w:after="60" w:line="300" w:lineRule="auto"/>
      </w:pPr>
      <w:r>
        <w:t>5.2 乙方应保存事件记录，配合甲方履行向监管机关和个人的通知义务；未经甲方同意，乙方不得擅自向外界披露事件细节，但法律要求披露的除外。</w:t>
      </w:r>
    </w:p>
    <w:p>
      <w:pPr>
        <w:pStyle w:val="Heading2"/>
      </w:pPr>
      <w:r>
        <w:t>六、审计与政府请求</w:t>
      </w:r>
    </w:p>
    <w:p>
      <w:pPr>
        <w:keepNext w:val="0"/>
        <w:spacing w:before="0" w:after="60" w:line="300" w:lineRule="auto"/>
      </w:pPr>
      <w:r>
        <w:t>6.1 甲方有权在合理通知后审计乙方的数据处理活动，或要求乙方提供第三方审计报告；乙方应提供必要配合。</w:t>
      </w:r>
    </w:p>
    <w:p>
      <w:pPr>
        <w:keepNext w:val="0"/>
        <w:spacing w:before="0" w:after="60" w:line="300" w:lineRule="auto"/>
      </w:pPr>
      <w:r>
        <w:t>6.2 乙方收到政府机关对个人数据的访问、调取或披露要求的，应在法律允许范围内及时通知甲方，仅提供被要求的最小范围，并配合甲方寻求法律救济。</w:t>
      </w:r>
    </w:p>
    <w:p>
      <w:pPr>
        <w:pStyle w:val="Heading2"/>
      </w:pPr>
      <w:r>
        <w:t>七、返还、删除与责任</w:t>
      </w:r>
    </w:p>
    <w:p>
      <w:pPr>
        <w:keepNext w:val="0"/>
        <w:spacing w:before="0" w:after="60" w:line="300" w:lineRule="auto"/>
      </w:pPr>
      <w:r>
        <w:t>7.1 合同终止或处理目的完成后，应返还或删除个人数据。确需按甲方合法书面指示提供必要返还迁移的，适用主合同第 14 条的最短必要期限、用途限制、删除证明和隔离备份截止日；无法律依据不得为等待过渡期限而继续处理。</w:t>
      </w:r>
    </w:p>
    <w:p>
      <w:pPr>
        <w:keepNext w:val="0"/>
        <w:spacing w:before="0" w:after="60" w:line="300" w:lineRule="auto"/>
      </w:pPr>
      <w:r>
        <w:t>7.2 乙方违反本附表造成甲方损失的，应承担违约责任；涉及个人数据泄露、故意或重大过失的，不适用主合同的责任上限。</w:t>
      </w:r>
    </w:p>
    <w:p>
      <w:pPr>
        <w:keepNext w:val="0"/>
        <w:spacing w:before="0" w:after="60" w:line="300" w:lineRule="auto"/>
      </w:pPr>
      <w:r>
        <w:t>7.3 本附表不替代处理合法性判断、个人信息保护影响评估、跨境程序或其他专项合规义务。</w:t>
      </w:r>
    </w:p>
    <w:p>
      <w:pPr>
        <w:spacing w:after="60" w:line="300" w:lineRule="auto"/>
      </w:pPr>
      <w:r/>
    </w:p>
    <w:p>
      <w:pPr>
        <w:pStyle w:val="Heading1"/>
      </w:pPr>
      <w:r>
        <w:t>附件五  退出清单</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569"/>
        <w:gridCol w:w="1569"/>
        <w:gridCol w:w="1569"/>
        <w:gridCol w:w="1569"/>
        <w:gridCol w:w="1569"/>
        <w:gridCol w:w="1569"/>
      </w:tblGrid>
      <w:tr>
        <w:trPr>
          <w:tblHeader w:val="true"/>
        </w:trPr>
        <w:tc>
          <w:tcPr>
            <w:tcW w:type="dxa" w:w="567"/>
            <w:vAlign w:val="center"/>
            <w:tcMar>
              <w:top w:w="60" w:type="dxa"/>
              <w:start w:w="90" w:type="dxa"/>
              <w:bottom w:w="60" w:type="dxa"/>
              <w:end w:w="90" w:type="dxa"/>
            </w:tcMar>
            <w:shd w:fill="1F4E79"/>
          </w:tcPr>
          <w:p>
            <w:pPr>
              <w:spacing w:after="0"/>
              <w:jc w:val="center"/>
            </w:pPr>
            <w:r>
              <w:t>序号</w:t>
            </w:r>
          </w:p>
        </w:tc>
        <w:tc>
          <w:tcPr>
            <w:tcW w:type="dxa" w:w="2494"/>
            <w:vAlign w:val="center"/>
            <w:tcMar>
              <w:top w:w="60" w:type="dxa"/>
              <w:start w:w="90" w:type="dxa"/>
              <w:bottom w:w="60" w:type="dxa"/>
              <w:end w:w="90" w:type="dxa"/>
            </w:tcMar>
            <w:shd w:fill="1F4E79"/>
          </w:tcPr>
          <w:p>
            <w:pPr>
              <w:spacing w:after="0"/>
              <w:jc w:val="center"/>
            </w:pPr>
            <w:r>
              <w:t>事项</w:t>
            </w:r>
          </w:p>
        </w:tc>
        <w:tc>
          <w:tcPr>
            <w:tcW w:type="dxa" w:w="1020"/>
            <w:vAlign w:val="center"/>
            <w:tcMar>
              <w:top w:w="60" w:type="dxa"/>
              <w:start w:w="90" w:type="dxa"/>
              <w:bottom w:w="60" w:type="dxa"/>
              <w:end w:w="90" w:type="dxa"/>
            </w:tcMar>
            <w:shd w:fill="1F4E79"/>
          </w:tcPr>
          <w:p>
            <w:pPr>
              <w:spacing w:after="0"/>
              <w:jc w:val="center"/>
            </w:pPr>
            <w:r>
              <w:t>责任方</w:t>
            </w:r>
          </w:p>
        </w:tc>
        <w:tc>
          <w:tcPr>
            <w:tcW w:type="dxa" w:w="1474"/>
            <w:vAlign w:val="center"/>
            <w:tcMar>
              <w:top w:w="60" w:type="dxa"/>
              <w:start w:w="90" w:type="dxa"/>
              <w:bottom w:w="60" w:type="dxa"/>
              <w:end w:w="90" w:type="dxa"/>
            </w:tcMar>
            <w:shd w:fill="1F4E79"/>
          </w:tcPr>
          <w:p>
            <w:pPr>
              <w:spacing w:after="0"/>
              <w:jc w:val="center"/>
            </w:pPr>
            <w:r>
              <w:t>期限/日期</w:t>
            </w:r>
          </w:p>
        </w:tc>
        <w:tc>
          <w:tcPr>
            <w:tcW w:type="dxa" w:w="2041"/>
            <w:vAlign w:val="center"/>
            <w:tcMar>
              <w:top w:w="60" w:type="dxa"/>
              <w:start w:w="90" w:type="dxa"/>
              <w:bottom w:w="60" w:type="dxa"/>
              <w:end w:w="90" w:type="dxa"/>
            </w:tcMar>
            <w:shd w:fill="1F4E79"/>
          </w:tcPr>
          <w:p>
            <w:pPr>
              <w:spacing w:after="0"/>
              <w:jc w:val="center"/>
            </w:pPr>
            <w:r>
              <w:t>完成标准</w:t>
            </w:r>
          </w:p>
        </w:tc>
        <w:tc>
          <w:tcPr>
            <w:tcW w:type="dxa" w:w="1020"/>
            <w:vAlign w:val="center"/>
            <w:tcMar>
              <w:top w:w="60" w:type="dxa"/>
              <w:start w:w="90" w:type="dxa"/>
              <w:bottom w:w="60" w:type="dxa"/>
              <w:end w:w="90" w:type="dxa"/>
            </w:tcMar>
            <w:shd w:fill="1F4E79"/>
          </w:tcPr>
          <w:p>
            <w:pPr>
              <w:spacing w:after="0"/>
              <w:jc w:val="center"/>
            </w:pPr>
            <w:r>
              <w:t>证据/位置</w:t>
            </w:r>
          </w:p>
        </w:tc>
      </w:tr>
      <w:tr>
        <w:trPr>
          <w:cantSplit/>
        </w:trPr>
        <w:tc>
          <w:tcPr>
            <w:tcW w:type="dxa" w:w="567"/>
            <w:vAlign w:val="center"/>
            <w:tcMar>
              <w:top w:w="60" w:type="dxa"/>
              <w:start w:w="90" w:type="dxa"/>
              <w:bottom w:w="60" w:type="dxa"/>
              <w:end w:w="90" w:type="dxa"/>
            </w:tcMar>
          </w:tcPr>
          <w:p>
            <w:pPr>
              <w:spacing w:after="0" w:line="276" w:lineRule="auto"/>
              <w:jc w:val="center"/>
            </w:pPr>
            <w:r>
              <w:t>1</w:t>
            </w:r>
          </w:p>
        </w:tc>
        <w:tc>
          <w:tcPr>
            <w:tcW w:type="dxa" w:w="2494"/>
            <w:vAlign w:val="center"/>
            <w:tcMar>
              <w:top w:w="60" w:type="dxa"/>
              <w:start w:w="90" w:type="dxa"/>
              <w:bottom w:w="60" w:type="dxa"/>
              <w:end w:w="90" w:type="dxa"/>
            </w:tcMar>
          </w:tcPr>
          <w:p>
            <w:pPr>
              <w:spacing w:after="0" w:line="276" w:lineRule="auto"/>
            </w:pPr>
            <w:r>
              <w:t>续约/不续约书面决定</w:t>
            </w:r>
          </w:p>
        </w:tc>
        <w:tc>
          <w:tcPr>
            <w:tcW w:type="dxa" w:w="1020"/>
            <w:vAlign w:val="center"/>
            <w:tcMar>
              <w:top w:w="60" w:type="dxa"/>
              <w:start w:w="90" w:type="dxa"/>
              <w:bottom w:w="60" w:type="dxa"/>
              <w:end w:w="90" w:type="dxa"/>
            </w:tcMar>
          </w:tcPr>
          <w:p>
            <w:pPr>
              <w:spacing w:after="0" w:line="276" w:lineRule="auto"/>
            </w:pPr>
            <w:r>
              <w:t>甲方</w:t>
            </w:r>
          </w:p>
        </w:tc>
        <w:tc>
          <w:tcPr>
            <w:tcW w:type="dxa" w:w="1474"/>
            <w:vAlign w:val="center"/>
            <w:tcMar>
              <w:top w:w="60" w:type="dxa"/>
              <w:start w:w="90" w:type="dxa"/>
              <w:bottom w:w="60" w:type="dxa"/>
              <w:end w:w="90" w:type="dxa"/>
            </w:tcMar>
          </w:tcPr>
          <w:p>
            <w:pPr>
              <w:spacing w:after="0" w:line="276" w:lineRule="auto"/>
            </w:pPr>
            <w:r>
              <w:t>到期前 60 日</w:t>
            </w:r>
          </w:p>
        </w:tc>
        <w:tc>
          <w:tcPr>
            <w:tcW w:type="dxa" w:w="2041"/>
            <w:vAlign w:val="center"/>
            <w:tcMar>
              <w:top w:w="60" w:type="dxa"/>
              <w:start w:w="90" w:type="dxa"/>
              <w:bottom w:w="60" w:type="dxa"/>
              <w:end w:w="90" w:type="dxa"/>
            </w:tcMar>
          </w:tcPr>
          <w:p>
            <w:pPr>
              <w:spacing w:after="0" w:line="276" w:lineRule="auto"/>
            </w:pPr>
            <w:r>
              <w:t>书面决定已发送</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2</w:t>
            </w:r>
          </w:p>
        </w:tc>
        <w:tc>
          <w:tcPr>
            <w:tcW w:type="dxa" w:w="2494"/>
            <w:vAlign w:val="center"/>
            <w:tcMar>
              <w:top w:w="60" w:type="dxa"/>
              <w:start w:w="90" w:type="dxa"/>
              <w:bottom w:w="60" w:type="dxa"/>
              <w:end w:w="90" w:type="dxa"/>
            </w:tcMar>
          </w:tcPr>
          <w:p>
            <w:pPr>
              <w:spacing w:after="0" w:line="276" w:lineRule="auto"/>
            </w:pPr>
            <w:r>
              <w:t>导出通知与格式确认</w:t>
            </w:r>
          </w:p>
        </w:tc>
        <w:tc>
          <w:tcPr>
            <w:tcW w:type="dxa" w:w="1020"/>
            <w:vAlign w:val="center"/>
            <w:tcMar>
              <w:top w:w="60" w:type="dxa"/>
              <w:start w:w="90" w:type="dxa"/>
              <w:bottom w:w="60" w:type="dxa"/>
              <w:end w:w="90" w:type="dxa"/>
            </w:tcMar>
          </w:tcPr>
          <w:p>
            <w:pPr>
              <w:spacing w:after="0" w:line="276" w:lineRule="auto"/>
            </w:pPr>
            <w:r>
              <w:t>乙方</w:t>
            </w:r>
          </w:p>
        </w:tc>
        <w:tc>
          <w:tcPr>
            <w:tcW w:type="dxa" w:w="1474"/>
            <w:vAlign w:val="center"/>
            <w:tcMar>
              <w:top w:w="60" w:type="dxa"/>
              <w:start w:w="90" w:type="dxa"/>
              <w:bottom w:w="60" w:type="dxa"/>
              <w:end w:w="90" w:type="dxa"/>
            </w:tcMar>
          </w:tcPr>
          <w:p>
            <w:pPr>
              <w:spacing w:after="0" w:line="276" w:lineRule="auto"/>
            </w:pPr>
            <w:r>
              <w:t>终止前 10 个工作日</w:t>
            </w:r>
          </w:p>
        </w:tc>
        <w:tc>
          <w:tcPr>
            <w:tcW w:type="dxa" w:w="2041"/>
            <w:vAlign w:val="center"/>
            <w:tcMar>
              <w:top w:w="60" w:type="dxa"/>
              <w:start w:w="90" w:type="dxa"/>
              <w:bottom w:w="60" w:type="dxa"/>
              <w:end w:w="90" w:type="dxa"/>
            </w:tcMar>
          </w:tcPr>
          <w:p>
            <w:pPr>
              <w:spacing w:after="0" w:line="276" w:lineRule="auto"/>
            </w:pPr>
            <w:r>
              <w:t>CSV/JSON、附件、元数据</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3</w:t>
            </w:r>
          </w:p>
        </w:tc>
        <w:tc>
          <w:tcPr>
            <w:tcW w:type="dxa" w:w="2494"/>
            <w:vAlign w:val="center"/>
            <w:tcMar>
              <w:top w:w="60" w:type="dxa"/>
              <w:start w:w="90" w:type="dxa"/>
              <w:bottom w:w="60" w:type="dxa"/>
              <w:end w:w="90" w:type="dxa"/>
            </w:tcMar>
          </w:tcPr>
          <w:p>
            <w:pPr>
              <w:spacing w:after="0" w:line="276" w:lineRule="auto"/>
            </w:pPr>
            <w:r>
              <w:t>数据导出</w:t>
            </w:r>
          </w:p>
        </w:tc>
        <w:tc>
          <w:tcPr>
            <w:tcW w:type="dxa" w:w="1020"/>
            <w:vAlign w:val="center"/>
            <w:tcMar>
              <w:top w:w="60" w:type="dxa"/>
              <w:start w:w="90" w:type="dxa"/>
              <w:bottom w:w="60" w:type="dxa"/>
              <w:end w:w="90" w:type="dxa"/>
            </w:tcMar>
          </w:tcPr>
          <w:p>
            <w:pPr>
              <w:spacing w:after="0" w:line="276" w:lineRule="auto"/>
            </w:pPr>
            <w:r>
              <w:t>乙方</w:t>
            </w:r>
          </w:p>
        </w:tc>
        <w:tc>
          <w:tcPr>
            <w:tcW w:type="dxa" w:w="1474"/>
            <w:vAlign w:val="center"/>
            <w:tcMar>
              <w:top w:w="60" w:type="dxa"/>
              <w:start w:w="90" w:type="dxa"/>
              <w:bottom w:w="60" w:type="dxa"/>
              <w:end w:w="90" w:type="dxa"/>
            </w:tcMar>
          </w:tcPr>
          <w:p>
            <w:pPr>
              <w:spacing w:after="0" w:line="276" w:lineRule="auto"/>
            </w:pPr>
            <w:r>
              <w:t>终止后 30 日内</w:t>
            </w:r>
          </w:p>
        </w:tc>
        <w:tc>
          <w:tcPr>
            <w:tcW w:type="dxa" w:w="2041"/>
            <w:vAlign w:val="center"/>
            <w:tcMar>
              <w:top w:w="60" w:type="dxa"/>
              <w:start w:w="90" w:type="dxa"/>
              <w:bottom w:w="60" w:type="dxa"/>
              <w:end w:w="90" w:type="dxa"/>
            </w:tcMar>
          </w:tcPr>
          <w:p>
            <w:pPr>
              <w:spacing w:after="0" w:line="276" w:lineRule="auto"/>
            </w:pPr>
            <w:r>
              <w:t>记录数、字段、附件、校验值一致</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4</w:t>
            </w:r>
          </w:p>
        </w:tc>
        <w:tc>
          <w:tcPr>
            <w:tcW w:type="dxa" w:w="2494"/>
            <w:vAlign w:val="center"/>
            <w:tcMar>
              <w:top w:w="60" w:type="dxa"/>
              <w:start w:w="90" w:type="dxa"/>
              <w:bottom w:w="60" w:type="dxa"/>
              <w:end w:w="90" w:type="dxa"/>
            </w:tcMar>
          </w:tcPr>
          <w:p>
            <w:pPr>
              <w:spacing w:after="0" w:line="276" w:lineRule="auto"/>
            </w:pPr>
            <w:r>
              <w:t>甲方导出核验</w:t>
            </w:r>
          </w:p>
        </w:tc>
        <w:tc>
          <w:tcPr>
            <w:tcW w:type="dxa" w:w="1020"/>
            <w:vAlign w:val="center"/>
            <w:tcMar>
              <w:top w:w="60" w:type="dxa"/>
              <w:start w:w="90" w:type="dxa"/>
              <w:bottom w:w="60" w:type="dxa"/>
              <w:end w:w="90" w:type="dxa"/>
            </w:tcMar>
          </w:tcPr>
          <w:p>
            <w:pPr>
              <w:spacing w:after="0" w:line="276" w:lineRule="auto"/>
            </w:pPr>
            <w:r>
              <w:t>甲方</w:t>
            </w:r>
          </w:p>
        </w:tc>
        <w:tc>
          <w:tcPr>
            <w:tcW w:type="dxa" w:w="1474"/>
            <w:vAlign w:val="center"/>
            <w:tcMar>
              <w:top w:w="60" w:type="dxa"/>
              <w:start w:w="90" w:type="dxa"/>
              <w:bottom w:w="60" w:type="dxa"/>
              <w:end w:w="90" w:type="dxa"/>
            </w:tcMar>
          </w:tcPr>
          <w:p>
            <w:pPr>
              <w:spacing w:after="0" w:line="276" w:lineRule="auto"/>
            </w:pPr>
            <w:r>
              <w:t>收到导出后 10 个工作日</w:t>
            </w:r>
          </w:p>
        </w:tc>
        <w:tc>
          <w:tcPr>
            <w:tcW w:type="dxa" w:w="2041"/>
            <w:vAlign w:val="center"/>
            <w:tcMar>
              <w:top w:w="60" w:type="dxa"/>
              <w:start w:w="90" w:type="dxa"/>
              <w:bottom w:w="60" w:type="dxa"/>
              <w:end w:w="90" w:type="dxa"/>
            </w:tcMar>
          </w:tcPr>
          <w:p>
            <w:pPr>
              <w:spacing w:after="0" w:line="276" w:lineRule="auto"/>
            </w:pPr>
            <w:r>
              <w:t>抽样/全量核对，无缺失</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5</w:t>
            </w:r>
          </w:p>
        </w:tc>
        <w:tc>
          <w:tcPr>
            <w:tcW w:type="dxa" w:w="2494"/>
            <w:vAlign w:val="center"/>
            <w:tcMar>
              <w:top w:w="60" w:type="dxa"/>
              <w:start w:w="90" w:type="dxa"/>
              <w:bottom w:w="60" w:type="dxa"/>
              <w:end w:w="90" w:type="dxa"/>
            </w:tcMar>
          </w:tcPr>
          <w:p>
            <w:pPr>
              <w:spacing w:after="0" w:line="276" w:lineRule="auto"/>
            </w:pPr>
            <w:r>
              <w:t>过渡访问与迁移协助</w:t>
            </w:r>
          </w:p>
        </w:tc>
        <w:tc>
          <w:tcPr>
            <w:tcW w:type="dxa" w:w="1020"/>
            <w:vAlign w:val="center"/>
            <w:tcMar>
              <w:top w:w="60" w:type="dxa"/>
              <w:start w:w="90" w:type="dxa"/>
              <w:bottom w:w="60" w:type="dxa"/>
              <w:end w:w="90" w:type="dxa"/>
            </w:tcMar>
          </w:tcPr>
          <w:p>
            <w:pPr>
              <w:spacing w:after="0" w:line="276" w:lineRule="auto"/>
            </w:pPr>
            <w:r>
              <w:t>乙方</w:t>
            </w:r>
          </w:p>
        </w:tc>
        <w:tc>
          <w:tcPr>
            <w:tcW w:type="dxa" w:w="1474"/>
            <w:vAlign w:val="center"/>
            <w:tcMar>
              <w:top w:w="60" w:type="dxa"/>
              <w:start w:w="90" w:type="dxa"/>
              <w:bottom w:w="60" w:type="dxa"/>
              <w:end w:w="90" w:type="dxa"/>
            </w:tcMar>
          </w:tcPr>
          <w:p>
            <w:pPr>
              <w:spacing w:after="0" w:line="276" w:lineRule="auto"/>
            </w:pPr>
            <w:r>
              <w:t>终止后 60 日内</w:t>
            </w:r>
          </w:p>
        </w:tc>
        <w:tc>
          <w:tcPr>
            <w:tcW w:type="dxa" w:w="2041"/>
            <w:vAlign w:val="center"/>
            <w:tcMar>
              <w:top w:w="60" w:type="dxa"/>
              <w:start w:w="90" w:type="dxa"/>
              <w:bottom w:w="60" w:type="dxa"/>
              <w:end w:w="90" w:type="dxa"/>
            </w:tcMar>
          </w:tcPr>
          <w:p>
            <w:pPr>
              <w:spacing w:after="0" w:line="276" w:lineRule="auto"/>
            </w:pPr>
            <w:r>
              <w:t>按约定提供支持</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6</w:t>
            </w:r>
          </w:p>
        </w:tc>
        <w:tc>
          <w:tcPr>
            <w:tcW w:type="dxa" w:w="2494"/>
            <w:vAlign w:val="center"/>
            <w:tcMar>
              <w:top w:w="60" w:type="dxa"/>
              <w:start w:w="90" w:type="dxa"/>
              <w:bottom w:w="60" w:type="dxa"/>
              <w:end w:w="90" w:type="dxa"/>
            </w:tcMar>
          </w:tcPr>
          <w:p>
            <w:pPr>
              <w:spacing w:after="0" w:line="276" w:lineRule="auto"/>
            </w:pPr>
            <w:r>
              <w:t>费用结算</w:t>
            </w:r>
          </w:p>
        </w:tc>
        <w:tc>
          <w:tcPr>
            <w:tcW w:type="dxa" w:w="1020"/>
            <w:vAlign w:val="center"/>
            <w:tcMar>
              <w:top w:w="60" w:type="dxa"/>
              <w:start w:w="90" w:type="dxa"/>
              <w:bottom w:w="60" w:type="dxa"/>
              <w:end w:w="90" w:type="dxa"/>
            </w:tcMar>
          </w:tcPr>
          <w:p>
            <w:pPr>
              <w:spacing w:after="0" w:line="276" w:lineRule="auto"/>
            </w:pPr>
            <w:r>
              <w:t>双方</w:t>
            </w:r>
          </w:p>
        </w:tc>
        <w:tc>
          <w:tcPr>
            <w:tcW w:type="dxa" w:w="1474"/>
            <w:vAlign w:val="center"/>
            <w:tcMar>
              <w:top w:w="60" w:type="dxa"/>
              <w:start w:w="90" w:type="dxa"/>
              <w:bottom w:w="60" w:type="dxa"/>
              <w:end w:w="90" w:type="dxa"/>
            </w:tcMar>
          </w:tcPr>
          <w:p>
            <w:pPr>
              <w:spacing w:after="0" w:line="276" w:lineRule="auto"/>
            </w:pPr>
            <w:r>
              <w:t>终止后 30 日内</w:t>
            </w:r>
          </w:p>
        </w:tc>
        <w:tc>
          <w:tcPr>
            <w:tcW w:type="dxa" w:w="2041"/>
            <w:vAlign w:val="center"/>
            <w:tcMar>
              <w:top w:w="60" w:type="dxa"/>
              <w:start w:w="90" w:type="dxa"/>
              <w:bottom w:w="60" w:type="dxa"/>
              <w:end w:w="90" w:type="dxa"/>
            </w:tcMar>
          </w:tcPr>
          <w:p>
            <w:pPr>
              <w:spacing w:after="0" w:line="276" w:lineRule="auto"/>
            </w:pPr>
            <w:r>
              <w:t>多退少补，无争议部分先结</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7</w:t>
            </w:r>
          </w:p>
        </w:tc>
        <w:tc>
          <w:tcPr>
            <w:tcW w:type="dxa" w:w="2494"/>
            <w:vAlign w:val="center"/>
            <w:tcMar>
              <w:top w:w="60" w:type="dxa"/>
              <w:start w:w="90" w:type="dxa"/>
              <w:bottom w:w="60" w:type="dxa"/>
              <w:end w:w="90" w:type="dxa"/>
            </w:tcMar>
          </w:tcPr>
          <w:p>
            <w:pPr>
              <w:spacing w:after="0" w:line="276" w:lineRule="auto"/>
            </w:pPr>
            <w:r>
              <w:t>账号、密钥、权限回收</w:t>
            </w:r>
          </w:p>
        </w:tc>
        <w:tc>
          <w:tcPr>
            <w:tcW w:type="dxa" w:w="1020"/>
            <w:vAlign w:val="center"/>
            <w:tcMar>
              <w:top w:w="60" w:type="dxa"/>
              <w:start w:w="90" w:type="dxa"/>
              <w:bottom w:w="60" w:type="dxa"/>
              <w:end w:w="90" w:type="dxa"/>
            </w:tcMar>
          </w:tcPr>
          <w:p>
            <w:pPr>
              <w:spacing w:after="0" w:line="276" w:lineRule="auto"/>
            </w:pPr>
            <w:r>
              <w:t>乙方</w:t>
            </w:r>
          </w:p>
        </w:tc>
        <w:tc>
          <w:tcPr>
            <w:tcW w:type="dxa" w:w="1474"/>
            <w:vAlign w:val="center"/>
            <w:tcMar>
              <w:top w:w="60" w:type="dxa"/>
              <w:start w:w="90" w:type="dxa"/>
              <w:bottom w:w="60" w:type="dxa"/>
              <w:end w:w="90" w:type="dxa"/>
            </w:tcMar>
          </w:tcPr>
          <w:p>
            <w:pPr>
              <w:spacing w:after="0" w:line="276" w:lineRule="auto"/>
            </w:pPr>
            <w:r>
              <w:t>终止后 10 个工作日</w:t>
            </w:r>
          </w:p>
        </w:tc>
        <w:tc>
          <w:tcPr>
            <w:tcW w:type="dxa" w:w="2041"/>
            <w:vAlign w:val="center"/>
            <w:tcMar>
              <w:top w:w="60" w:type="dxa"/>
              <w:start w:w="90" w:type="dxa"/>
              <w:bottom w:w="60" w:type="dxa"/>
              <w:end w:w="90" w:type="dxa"/>
            </w:tcMar>
          </w:tcPr>
          <w:p>
            <w:pPr>
              <w:spacing w:after="0" w:line="276" w:lineRule="auto"/>
            </w:pPr>
            <w:r>
              <w:t>全部回收并记录</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8</w:t>
            </w:r>
          </w:p>
        </w:tc>
        <w:tc>
          <w:tcPr>
            <w:tcW w:type="dxa" w:w="2494"/>
            <w:vAlign w:val="center"/>
            <w:tcMar>
              <w:top w:w="60" w:type="dxa"/>
              <w:start w:w="90" w:type="dxa"/>
              <w:bottom w:w="60" w:type="dxa"/>
              <w:end w:w="90" w:type="dxa"/>
            </w:tcMar>
          </w:tcPr>
          <w:p>
            <w:pPr>
              <w:spacing w:after="0" w:line="276" w:lineRule="auto"/>
            </w:pPr>
            <w:r>
              <w:t>数据删除</w:t>
            </w:r>
          </w:p>
        </w:tc>
        <w:tc>
          <w:tcPr>
            <w:tcW w:type="dxa" w:w="1020"/>
            <w:vAlign w:val="center"/>
            <w:tcMar>
              <w:top w:w="60" w:type="dxa"/>
              <w:start w:w="90" w:type="dxa"/>
              <w:bottom w:w="60" w:type="dxa"/>
              <w:end w:w="90" w:type="dxa"/>
            </w:tcMar>
          </w:tcPr>
          <w:p>
            <w:pPr>
              <w:spacing w:after="0" w:line="276" w:lineRule="auto"/>
            </w:pPr>
            <w:r>
              <w:t>乙方</w:t>
            </w:r>
          </w:p>
        </w:tc>
        <w:tc>
          <w:tcPr>
            <w:tcW w:type="dxa" w:w="1474"/>
            <w:vAlign w:val="center"/>
            <w:tcMar>
              <w:top w:w="60" w:type="dxa"/>
              <w:start w:w="90" w:type="dxa"/>
              <w:bottom w:w="60" w:type="dxa"/>
              <w:end w:w="90" w:type="dxa"/>
            </w:tcMar>
          </w:tcPr>
          <w:p>
            <w:r>
              <w:t>导出及过渡结束后30日内；备份自过渡结束起≤90日</w:t>
            </w:r>
          </w:p>
        </w:tc>
        <w:tc>
          <w:tcPr>
            <w:tcW w:type="dxa" w:w="2041"/>
            <w:vAlign w:val="center"/>
            <w:tcMar>
              <w:top w:w="60" w:type="dxa"/>
              <w:start w:w="90" w:type="dxa"/>
              <w:bottom w:w="60" w:type="dxa"/>
              <w:end w:w="90" w:type="dxa"/>
            </w:tcMar>
          </w:tcPr>
          <w:p>
            <w:r>
              <w:t>最短必要原则；在线/可访问备份/衍生数据；隔离备份另记清除日期</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9</w:t>
            </w:r>
          </w:p>
        </w:tc>
        <w:tc>
          <w:tcPr>
            <w:tcW w:type="dxa" w:w="2494"/>
            <w:vAlign w:val="center"/>
            <w:tcMar>
              <w:top w:w="60" w:type="dxa"/>
              <w:start w:w="90" w:type="dxa"/>
              <w:bottom w:w="60" w:type="dxa"/>
              <w:end w:w="90" w:type="dxa"/>
            </w:tcMar>
          </w:tcPr>
          <w:p>
            <w:pPr>
              <w:spacing w:after="0" w:line="276" w:lineRule="auto"/>
            </w:pPr>
            <w:r>
              <w:t>删除证明</w:t>
            </w:r>
          </w:p>
        </w:tc>
        <w:tc>
          <w:tcPr>
            <w:tcW w:type="dxa" w:w="1020"/>
            <w:vAlign w:val="center"/>
            <w:tcMar>
              <w:top w:w="60" w:type="dxa"/>
              <w:start w:w="90" w:type="dxa"/>
              <w:bottom w:w="60" w:type="dxa"/>
              <w:end w:w="90" w:type="dxa"/>
            </w:tcMar>
          </w:tcPr>
          <w:p>
            <w:pPr>
              <w:spacing w:after="0" w:line="276" w:lineRule="auto"/>
            </w:pPr>
            <w:r>
              <w:t>乙方</w:t>
            </w:r>
          </w:p>
        </w:tc>
        <w:tc>
          <w:tcPr>
            <w:tcW w:type="dxa" w:w="1474"/>
            <w:vAlign w:val="center"/>
            <w:tcMar>
              <w:top w:w="60" w:type="dxa"/>
              <w:start w:w="90" w:type="dxa"/>
              <w:bottom w:w="60" w:type="dxa"/>
              <w:end w:w="90" w:type="dxa"/>
            </w:tcMar>
          </w:tcPr>
          <w:p>
            <w:pPr>
              <w:spacing w:after="0" w:line="276" w:lineRule="auto"/>
            </w:pPr>
            <w:r>
              <w:t>删除后 10 个工作日</w:t>
            </w:r>
          </w:p>
        </w:tc>
        <w:tc>
          <w:tcPr>
            <w:tcW w:type="dxa" w:w="2041"/>
            <w:vAlign w:val="center"/>
            <w:tcMar>
              <w:top w:w="60" w:type="dxa"/>
              <w:start w:w="90" w:type="dxa"/>
              <w:bottom w:w="60" w:type="dxa"/>
              <w:end w:w="90" w:type="dxa"/>
            </w:tcMar>
          </w:tcPr>
          <w:p>
            <w:pPr>
              <w:spacing w:after="0" w:line="276" w:lineRule="auto"/>
            </w:pPr>
            <w:r>
              <w:t>范围、方式、日期、执行人</w:t>
            </w:r>
          </w:p>
        </w:tc>
        <w:tc>
          <w:tcPr>
            <w:tcW w:type="dxa" w:w="1020"/>
            <w:vAlign w:val="center"/>
            <w:tcMar>
              <w:top w:w="60" w:type="dxa"/>
              <w:start w:w="90" w:type="dxa"/>
              <w:bottom w:w="60" w:type="dxa"/>
              <w:end w:w="90" w:type="dxa"/>
            </w:tcMar>
          </w:tcPr>
          <w:p>
            <w:pPr>
              <w:spacing w:after="0" w:line="276" w:lineRule="auto"/>
            </w:pPr>
            <w:r>
              <w:t>【填写】</w:t>
            </w:r>
          </w:p>
        </w:tc>
      </w:tr>
      <w:tr>
        <w:trPr>
          <w:cantSplit/>
        </w:trPr>
        <w:tc>
          <w:tcPr>
            <w:tcW w:type="dxa" w:w="567"/>
            <w:vAlign w:val="center"/>
            <w:tcMar>
              <w:top w:w="60" w:type="dxa"/>
              <w:start w:w="90" w:type="dxa"/>
              <w:bottom w:w="60" w:type="dxa"/>
              <w:end w:w="90" w:type="dxa"/>
            </w:tcMar>
          </w:tcPr>
          <w:p>
            <w:pPr>
              <w:spacing w:after="0" w:line="276" w:lineRule="auto"/>
              <w:jc w:val="center"/>
            </w:pPr>
            <w:r>
              <w:t>10</w:t>
            </w:r>
          </w:p>
        </w:tc>
        <w:tc>
          <w:tcPr>
            <w:tcW w:type="dxa" w:w="2494"/>
            <w:vAlign w:val="center"/>
            <w:tcMar>
              <w:top w:w="60" w:type="dxa"/>
              <w:start w:w="90" w:type="dxa"/>
              <w:bottom w:w="60" w:type="dxa"/>
              <w:end w:w="90" w:type="dxa"/>
            </w:tcMar>
          </w:tcPr>
          <w:p>
            <w:pPr>
              <w:spacing w:after="0" w:line="276" w:lineRule="auto"/>
            </w:pPr>
            <w:r>
              <w:t>档案与争议保全</w:t>
            </w:r>
          </w:p>
        </w:tc>
        <w:tc>
          <w:tcPr>
            <w:tcW w:type="dxa" w:w="1020"/>
            <w:vAlign w:val="center"/>
            <w:tcMar>
              <w:top w:w="60" w:type="dxa"/>
              <w:start w:w="90" w:type="dxa"/>
              <w:bottom w:w="60" w:type="dxa"/>
              <w:end w:w="90" w:type="dxa"/>
            </w:tcMar>
          </w:tcPr>
          <w:p>
            <w:pPr>
              <w:spacing w:after="0" w:line="276" w:lineRule="auto"/>
            </w:pPr>
            <w:r>
              <w:t>双方</w:t>
            </w:r>
          </w:p>
        </w:tc>
        <w:tc>
          <w:tcPr>
            <w:tcW w:type="dxa" w:w="1474"/>
            <w:vAlign w:val="center"/>
            <w:tcMar>
              <w:top w:w="60" w:type="dxa"/>
              <w:start w:w="90" w:type="dxa"/>
              <w:bottom w:w="60" w:type="dxa"/>
              <w:end w:w="90" w:type="dxa"/>
            </w:tcMar>
          </w:tcPr>
          <w:p>
            <w:pPr>
              <w:spacing w:after="0" w:line="276" w:lineRule="auto"/>
            </w:pPr>
            <w:r>
              <w:t>按适用义务</w:t>
            </w:r>
          </w:p>
        </w:tc>
        <w:tc>
          <w:tcPr>
            <w:tcW w:type="dxa" w:w="2041"/>
            <w:vAlign w:val="center"/>
            <w:tcMar>
              <w:top w:w="60" w:type="dxa"/>
              <w:start w:w="90" w:type="dxa"/>
              <w:bottom w:w="60" w:type="dxa"/>
              <w:end w:w="90" w:type="dxa"/>
            </w:tcMar>
          </w:tcPr>
          <w:p>
            <w:pPr>
              <w:spacing w:after="0" w:line="276" w:lineRule="auto"/>
            </w:pPr>
            <w:r>
              <w:t>争议/调查期间暂停销毁</w:t>
            </w:r>
          </w:p>
        </w:tc>
        <w:tc>
          <w:tcPr>
            <w:tcW w:type="dxa" w:w="1020"/>
            <w:vAlign w:val="center"/>
            <w:tcMar>
              <w:top w:w="60" w:type="dxa"/>
              <w:start w:w="90" w:type="dxa"/>
              <w:bottom w:w="60" w:type="dxa"/>
              <w:end w:w="90" w:type="dxa"/>
            </w:tcMar>
          </w:tcPr>
          <w:p>
            <w:pPr>
              <w:spacing w:after="0" w:line="276" w:lineRule="auto"/>
            </w:pPr>
            <w:r>
              <w:t>【填写】</w:t>
            </w:r>
          </w:p>
        </w:tc>
      </w:tr>
    </w:tbl>
    <w:p>
      <w:pPr>
        <w:spacing w:after="60" w:line="300" w:lineRule="auto"/>
      </w:pPr>
      <w:r/>
    </w:p>
    <w:p>
      <w:pPr>
        <w:keepNext w:val="0"/>
        <w:spacing w:before="0" w:after="60" w:line="300" w:lineRule="auto"/>
      </w:pPr>
      <w:r>
        <w:t>填写提示：导出格式应可读、可迁移；删除证明应覆盖在线系统、可合理访问的备份和衍生数据；依法必须留存的，隔离保存并继续保密。</w:t>
      </w:r>
    </w:p>
    <w:p>
      <w:pPr>
        <w:spacing w:after="60" w:line="300" w:lineRule="auto"/>
      </w:pPr>
      <w:r/>
    </w:p>
    <w:p>
      <w:pPr>
        <w:pStyle w:val="Heading1"/>
        <w:pageBreakBefore/>
      </w:pPr>
      <w:r>
        <w:t>签署页</w:t>
      </w:r>
    </w:p>
    <w:p>
      <w:pPr>
        <w:keepNext w:val="0"/>
        <w:spacing w:before="0" w:after="60" w:line="300" w:lineRule="auto"/>
      </w:pPr>
      <w:r>
        <w:t>双方确认：已阅读并理解本合同及“重要条款提示”；签署人已获得合法授权；主合同、附件一至五和本签署页共同构成完整合同。</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268"/>
            <w:vAlign w:val="center"/>
            <w:tcMar>
              <w:top w:w="60" w:type="dxa"/>
              <w:start w:w="90" w:type="dxa"/>
              <w:bottom w:w="60" w:type="dxa"/>
              <w:end w:w="90" w:type="dxa"/>
            </w:tcMar>
            <w:shd w:fill="1F4E79"/>
          </w:tcPr>
          <w:p>
            <w:pPr>
              <w:spacing w:after="0"/>
              <w:jc w:val="center"/>
            </w:pPr>
            <w:r>
              <w:t>项目</w:t>
            </w:r>
          </w:p>
        </w:tc>
        <w:tc>
          <w:tcPr>
            <w:tcW w:type="dxa" w:w="3175"/>
            <w:vAlign w:val="center"/>
            <w:tcMar>
              <w:top w:w="60" w:type="dxa"/>
              <w:start w:w="90" w:type="dxa"/>
              <w:bottom w:w="60" w:type="dxa"/>
              <w:end w:w="90" w:type="dxa"/>
            </w:tcMar>
            <w:shd w:fill="1F4E79"/>
          </w:tcPr>
          <w:p>
            <w:pPr>
              <w:spacing w:after="0"/>
              <w:jc w:val="center"/>
            </w:pPr>
            <w:r>
              <w:t>甲方（采购方）</w:t>
            </w:r>
          </w:p>
        </w:tc>
        <w:tc>
          <w:tcPr>
            <w:tcW w:type="dxa" w:w="3175"/>
            <w:vAlign w:val="center"/>
            <w:tcMar>
              <w:top w:w="60" w:type="dxa"/>
              <w:start w:w="90" w:type="dxa"/>
              <w:bottom w:w="60" w:type="dxa"/>
              <w:end w:w="90" w:type="dxa"/>
            </w:tcMar>
            <w:shd w:fill="1F4E79"/>
          </w:tcPr>
          <w:p>
            <w:pPr>
              <w:spacing w:after="0"/>
              <w:jc w:val="center"/>
            </w:pPr>
            <w:r>
              <w:t>乙方（服务商）</w:t>
            </w:r>
          </w:p>
        </w:tc>
      </w:tr>
      <w:tr>
        <w:trPr>
          <w:cantSplit/>
        </w:trPr>
        <w:tc>
          <w:tcPr>
            <w:tcW w:type="dxa" w:w="2268"/>
            <w:vAlign w:val="center"/>
            <w:tcMar>
              <w:top w:w="60" w:type="dxa"/>
              <w:start w:w="90" w:type="dxa"/>
              <w:bottom w:w="60" w:type="dxa"/>
              <w:end w:w="90" w:type="dxa"/>
            </w:tcMar>
          </w:tcPr>
          <w:p>
            <w:pPr>
              <w:spacing w:after="0" w:line="276" w:lineRule="auto"/>
            </w:pPr>
            <w:r>
              <w:t>主体全称（盖章）</w:t>
            </w:r>
          </w:p>
        </w:tc>
        <w:tc>
          <w:tcPr>
            <w:tcW w:type="dxa" w:w="3175"/>
            <w:vAlign w:val="center"/>
            <w:tcMar>
              <w:top w:w="60" w:type="dxa"/>
              <w:start w:w="90" w:type="dxa"/>
              <w:bottom w:w="60" w:type="dxa"/>
              <w:end w:w="90" w:type="dxa"/>
            </w:tcMar>
          </w:tcPr>
          <w:p>
            <w:pPr>
              <w:spacing w:after="0" w:line="276" w:lineRule="auto"/>
            </w:pPr>
            <w:r>
              <w:t>【填写并盖章】</w:t>
            </w:r>
          </w:p>
        </w:tc>
        <w:tc>
          <w:tcPr>
            <w:tcW w:type="dxa" w:w="3175"/>
            <w:vAlign w:val="center"/>
            <w:tcMar>
              <w:top w:w="60" w:type="dxa"/>
              <w:start w:w="90" w:type="dxa"/>
              <w:bottom w:w="60" w:type="dxa"/>
              <w:end w:w="90" w:type="dxa"/>
            </w:tcMar>
          </w:tcPr>
          <w:p>
            <w:pPr>
              <w:spacing w:after="0" w:line="276" w:lineRule="auto"/>
            </w:pPr>
            <w:r>
              <w:t>【填写并盖章】</w:t>
            </w:r>
          </w:p>
        </w:tc>
      </w:tr>
      <w:tr>
        <w:trPr>
          <w:cantSplit/>
        </w:trPr>
        <w:tc>
          <w:tcPr>
            <w:tcW w:type="dxa" w:w="2268"/>
            <w:vAlign w:val="center"/>
            <w:tcMar>
              <w:top w:w="60" w:type="dxa"/>
              <w:start w:w="90" w:type="dxa"/>
              <w:bottom w:w="60" w:type="dxa"/>
              <w:end w:w="90" w:type="dxa"/>
            </w:tcMar>
          </w:tcPr>
          <w:p>
            <w:pPr>
              <w:spacing w:after="0" w:line="276" w:lineRule="auto"/>
            </w:pPr>
            <w:r>
              <w:t>统一社会信用代码</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r>
        <w:trPr>
          <w:cantSplit/>
        </w:trPr>
        <w:tc>
          <w:tcPr>
            <w:tcW w:type="dxa" w:w="2268"/>
            <w:vAlign w:val="center"/>
            <w:tcMar>
              <w:top w:w="60" w:type="dxa"/>
              <w:start w:w="90" w:type="dxa"/>
              <w:bottom w:w="60" w:type="dxa"/>
              <w:end w:w="90" w:type="dxa"/>
            </w:tcMar>
          </w:tcPr>
          <w:p>
            <w:pPr>
              <w:spacing w:after="0" w:line="276" w:lineRule="auto"/>
            </w:pPr>
            <w:r>
              <w:t>法定代表人或授权代表</w:t>
            </w:r>
          </w:p>
        </w:tc>
        <w:tc>
          <w:tcPr>
            <w:tcW w:type="dxa" w:w="3175"/>
            <w:vAlign w:val="center"/>
            <w:tcMar>
              <w:top w:w="60" w:type="dxa"/>
              <w:start w:w="90" w:type="dxa"/>
              <w:bottom w:w="60" w:type="dxa"/>
              <w:end w:w="90" w:type="dxa"/>
            </w:tcMar>
          </w:tcPr>
          <w:p>
            <w:pPr>
              <w:spacing w:after="0" w:line="276" w:lineRule="auto"/>
            </w:pPr>
            <w:r>
              <w:t>【签字】</w:t>
            </w:r>
          </w:p>
        </w:tc>
        <w:tc>
          <w:tcPr>
            <w:tcW w:type="dxa" w:w="3175"/>
            <w:vAlign w:val="center"/>
            <w:tcMar>
              <w:top w:w="60" w:type="dxa"/>
              <w:start w:w="90" w:type="dxa"/>
              <w:bottom w:w="60" w:type="dxa"/>
              <w:end w:w="90" w:type="dxa"/>
            </w:tcMar>
          </w:tcPr>
          <w:p>
            <w:pPr>
              <w:spacing w:after="0" w:line="276" w:lineRule="auto"/>
            </w:pPr>
            <w:r>
              <w:t>【签字】</w:t>
            </w:r>
          </w:p>
        </w:tc>
      </w:tr>
      <w:tr>
        <w:trPr>
          <w:cantSplit/>
        </w:trPr>
        <w:tc>
          <w:tcPr>
            <w:tcW w:type="dxa" w:w="2268"/>
            <w:vAlign w:val="center"/>
            <w:tcMar>
              <w:top w:w="60" w:type="dxa"/>
              <w:start w:w="90" w:type="dxa"/>
              <w:bottom w:w="60" w:type="dxa"/>
              <w:end w:w="90" w:type="dxa"/>
            </w:tcMar>
          </w:tcPr>
          <w:p>
            <w:pPr>
              <w:spacing w:after="0" w:line="276" w:lineRule="auto"/>
            </w:pPr>
            <w:r>
              <w:t>签署日期</w:t>
            </w:r>
          </w:p>
        </w:tc>
        <w:tc>
          <w:tcPr>
            <w:tcW w:type="dxa" w:w="3175"/>
            <w:vAlign w:val="center"/>
            <w:tcMar>
              <w:top w:w="60" w:type="dxa"/>
              <w:start w:w="90" w:type="dxa"/>
              <w:bottom w:w="60" w:type="dxa"/>
              <w:end w:w="90" w:type="dxa"/>
            </w:tcMar>
          </w:tcPr>
          <w:p>
            <w:pPr>
              <w:spacing w:after="0" w:line="276" w:lineRule="auto"/>
            </w:pPr>
            <w:r>
              <w:t>【年】年【月】月【日】日</w:t>
            </w:r>
          </w:p>
        </w:tc>
        <w:tc>
          <w:tcPr>
            <w:tcW w:type="dxa" w:w="3175"/>
            <w:vAlign w:val="center"/>
            <w:tcMar>
              <w:top w:w="60" w:type="dxa"/>
              <w:start w:w="90" w:type="dxa"/>
              <w:bottom w:w="60" w:type="dxa"/>
              <w:end w:w="90" w:type="dxa"/>
            </w:tcMar>
          </w:tcPr>
          <w:p>
            <w:pPr>
              <w:spacing w:after="0" w:line="276" w:lineRule="auto"/>
            </w:pPr>
            <w:r>
              <w:t>【年】年【月】月【日】日</w:t>
            </w:r>
          </w:p>
        </w:tc>
      </w:tr>
      <w:tr>
        <w:trPr>
          <w:cantSplit/>
        </w:trPr>
        <w:tc>
          <w:tcPr>
            <w:tcW w:type="dxa" w:w="2268"/>
            <w:vAlign w:val="center"/>
            <w:tcMar>
              <w:top w:w="60" w:type="dxa"/>
              <w:start w:w="90" w:type="dxa"/>
              <w:bottom w:w="60" w:type="dxa"/>
              <w:end w:w="90" w:type="dxa"/>
            </w:tcMar>
          </w:tcPr>
          <w:p>
            <w:pPr>
              <w:spacing w:after="0" w:line="276" w:lineRule="auto"/>
            </w:pPr>
            <w:r>
              <w:t>签署地点</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r>
        <w:trPr>
          <w:cantSplit/>
        </w:trPr>
        <w:tc>
          <w:tcPr>
            <w:tcW w:type="dxa" w:w="2268"/>
            <w:vAlign w:val="center"/>
            <w:tcMar>
              <w:top w:w="60" w:type="dxa"/>
              <w:start w:w="90" w:type="dxa"/>
              <w:bottom w:w="60" w:type="dxa"/>
              <w:end w:w="90" w:type="dxa"/>
            </w:tcMar>
          </w:tcPr>
          <w:p>
            <w:pPr>
              <w:spacing w:after="0" w:line="276" w:lineRule="auto"/>
            </w:pPr>
            <w:r>
              <w:t>通知地址</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r>
        <w:trPr>
          <w:cantSplit/>
        </w:trPr>
        <w:tc>
          <w:tcPr>
            <w:tcW w:type="dxa" w:w="2268"/>
            <w:vAlign w:val="center"/>
            <w:tcMar>
              <w:top w:w="60" w:type="dxa"/>
              <w:start w:w="90" w:type="dxa"/>
              <w:bottom w:w="60" w:type="dxa"/>
              <w:end w:w="90" w:type="dxa"/>
            </w:tcMar>
          </w:tcPr>
          <w:p>
            <w:pPr>
              <w:spacing w:after="0" w:line="276" w:lineRule="auto"/>
            </w:pPr>
            <w:r>
              <w:t>联系人/邮箱</w:t>
            </w:r>
          </w:p>
        </w:tc>
        <w:tc>
          <w:tcPr>
            <w:tcW w:type="dxa" w:w="3175"/>
            <w:vAlign w:val="center"/>
            <w:tcMar>
              <w:top w:w="60" w:type="dxa"/>
              <w:start w:w="90" w:type="dxa"/>
              <w:bottom w:w="60" w:type="dxa"/>
              <w:end w:w="90" w:type="dxa"/>
            </w:tcMar>
          </w:tcPr>
          <w:p>
            <w:pPr>
              <w:spacing w:after="0" w:line="276" w:lineRule="auto"/>
            </w:pPr>
            <w:r>
              <w:t>【填写】</w:t>
            </w:r>
          </w:p>
        </w:tc>
        <w:tc>
          <w:tcPr>
            <w:tcW w:type="dxa" w:w="3175"/>
            <w:vAlign w:val="center"/>
            <w:tcMar>
              <w:top w:w="60" w:type="dxa"/>
              <w:start w:w="90" w:type="dxa"/>
              <w:bottom w:w="60" w:type="dxa"/>
              <w:end w:w="90" w:type="dxa"/>
            </w:tcMar>
          </w:tcPr>
          <w:p>
            <w:pPr>
              <w:spacing w:after="0" w:line="276" w:lineRule="auto"/>
            </w:pPr>
            <w:r>
              <w:t>【填写】</w:t>
            </w:r>
          </w:p>
        </w:tc>
      </w:tr>
    </w:tbl>
    <w:p>
      <w:pPr>
        <w:spacing w:after="60" w:line="300" w:lineRule="auto"/>
      </w:pPr>
      <w:r/>
    </w:p>
    <w:p>
      <w:pPr>
        <w:keepNext w:val="0"/>
        <w:spacing w:before="160" w:after="60" w:line="300" w:lineRule="auto"/>
      </w:pPr>
      <w:r>
        <w:t>附件清单（签署时逐项勾选）：</w:t>
      </w:r>
    </w:p>
    <w:p>
      <w:pPr>
        <w:keepNext w:val="0"/>
        <w:spacing w:before="0" w:after="60" w:line="300" w:lineRule="auto"/>
      </w:pPr>
      <w:r>
        <w:t>☐ 附件一  订购单（Order Form）</w:t>
      </w:r>
    </w:p>
    <w:p>
      <w:pPr>
        <w:keepNext w:val="0"/>
        <w:spacing w:before="0" w:after="60" w:line="300" w:lineRule="auto"/>
      </w:pPr>
      <w:r>
        <w:t>☐ 附件二  开通核验单（模板，开通时填写）</w:t>
      </w:r>
    </w:p>
    <w:p>
      <w:pPr>
        <w:keepNext w:val="0"/>
        <w:spacing w:before="0" w:after="60" w:line="300" w:lineRule="auto"/>
      </w:pPr>
      <w:r>
        <w:t>☐ 附件三  服务水平协议（SLA）</w:t>
      </w:r>
    </w:p>
    <w:p>
      <w:pPr>
        <w:keepNext w:val="0"/>
        <w:spacing w:before="0" w:after="60" w:line="300" w:lineRule="auto"/>
      </w:pPr>
      <w:r>
        <w:t>☐ 附件四  数据处理附表（DPA）</w:t>
      </w:r>
    </w:p>
    <w:p>
      <w:pPr>
        <w:keepNext w:val="0"/>
        <w:spacing w:before="0" w:after="60" w:line="300" w:lineRule="auto"/>
      </w:pPr>
      <w:r>
        <w:t>☐ 附件五  退出清单（模板，退出时填写）</w:t>
      </w:r>
    </w:p>
    <w:p>
      <w:pPr>
        <w:keepNext w:val="0"/>
        <w:spacing w:before="0" w:after="60" w:line="300" w:lineRule="auto"/>
      </w:pPr>
      <w:r>
        <w:t>☐ 重要条款提示（已随签署文本保留）</w:t>
      </w:r>
    </w:p>
    <w:sectPr w:rsidR="00FC693F" w:rsidRPr="0006063C" w:rsidSect="00034616">
      <w:headerReference w:type="default" r:id="rId9"/>
      <w:footerReference w:type="default" r:id="rId10"/>
      <w:pgSz w:w="11906" w:h="16838"/>
      <w:pgMar w:top="1247" w:right="1247" w:bottom="1134" w:left="124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宋体"/>
        <w:color w:val="808080"/>
        <w:sz w:val="17"/>
      </w:rPr>
      <w:t xml:space="preserve">第 </w:t>
    </w:r>
    <w:r>
      <w:rPr>
        <w:rFonts w:ascii="Times New Roman" w:hAnsi="Times New Roman" w:eastAsia="宋体"/>
        <w:color w:val="808080"/>
        <w:sz w:val="17"/>
      </w:rPr>
      <w:fldChar w:fldCharType="begin"/>
    </w:r>
    <w:r>
      <w:rPr>
        <w:rFonts w:ascii="Times New Roman" w:hAnsi="Times New Roman" w:eastAsia="宋体"/>
        <w:color w:val="808080"/>
        <w:sz w:val="17"/>
      </w:rPr>
      <w:instrText xml:space="preserve">PAGE</w:instrText>
    </w:r>
    <w:r>
      <w:rPr>
        <w:rFonts w:ascii="Times New Roman" w:hAnsi="Times New Roman" w:eastAsia="宋体"/>
        <w:color w:val="808080"/>
        <w:sz w:val="17"/>
      </w:rPr>
      <w:fldChar w:fldCharType="end"/>
    </w:r>
    <w:r>
      <w:rPr>
        <w:rFonts w:ascii="Times New Roman" w:hAnsi="Times New Roman" w:eastAsia="宋体"/>
        <w:color w:val="808080"/>
        <w:sz w:val="17"/>
      </w:rPr>
      <w:t xml:space="preserve"> 页 / 共 </w:t>
    </w:r>
    <w:r>
      <w:rPr>
        <w:rFonts w:ascii="Times New Roman" w:hAnsi="Times New Roman" w:eastAsia="宋体"/>
        <w:color w:val="808080"/>
        <w:sz w:val="17"/>
      </w:rPr>
      <w:fldChar w:fldCharType="begin"/>
    </w:r>
    <w:r>
      <w:rPr>
        <w:rFonts w:ascii="Times New Roman" w:hAnsi="Times New Roman" w:eastAsia="宋体"/>
        <w:color w:val="808080"/>
        <w:sz w:val="17"/>
      </w:rPr>
      <w:instrText xml:space="preserve">NUMPAGES</w:instrText>
    </w:r>
    <w:r>
      <w:rPr>
        <w:rFonts w:ascii="Times New Roman" w:hAnsi="Times New Roman" w:eastAsia="宋体"/>
        <w:color w:val="808080"/>
        <w:sz w:val="17"/>
      </w:rPr>
      <w:fldChar w:fldCharType="end"/>
    </w:r>
    <w:r>
      <w:rPr>
        <w:rFonts w:ascii="Times New Roman" w:hAnsi="Times New Roman" w:eastAsia="宋体"/>
        <w:color w:val="808080"/>
        <w:sz w:val="17"/>
      </w:rPr>
      <w:t xml:space="preserve"> 页</w:t>
    </w:r>
    <w:r>
      <w:rPr>
        <w:rFonts w:ascii="Times New Roman" w:hAnsi="Times New Roman" w:eastAsia="宋体"/>
        <w:color w:val="A6A6A6"/>
        <w:sz w:val="16"/>
      </w:rPr>
      <w:t xml:space="preserve">    法务OPC · M01 合同基础设施 · 模拟模板</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BFBFBF"/>
      </w:pBdr>
    </w:pPr>
    <w:r/>
    <w:r>
      <w:rPr>
        <w:rFonts w:ascii="Times New Roman" w:hAnsi="Times New Roman" w:eastAsia="宋体"/>
        <w:color w:val="7F7F7F"/>
        <w:sz w:val="16"/>
      </w:rPr>
      <w:t>TPL-SAAS-BUY-01  ·  SaaS 采购合同包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8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288" w:lineRule="auto"/>
      <w:outlineLvl w:val="0"/>
    </w:pPr>
    <w:rPr>
      <w:rFonts w:asciiTheme="majorHAnsi" w:eastAsiaTheme="majorEastAsia" w:hAnsiTheme="majorHAnsi" w:cstheme="majorBidi" w:ascii="黑体" w:hAnsi="黑体" w:eastAsia="黑体"/>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88" w:lineRule="auto"/>
      <w:outlineLvl w:val="1"/>
    </w:pPr>
    <w:rPr>
      <w:rFonts w:asciiTheme="majorHAnsi" w:eastAsiaTheme="majorEastAsia" w:hAnsiTheme="majorHAnsi" w:cstheme="majorBidi" w:ascii="黑体" w:hAnsi="黑体" w:eastAsia="黑体"/>
      <w:b/>
      <w:bCs/>
      <w:color w:val="2E4B66"/>
      <w:sz w:val="25"/>
      <w:szCs w:val="26"/>
    </w:rPr>
  </w:style>
  <w:style w:type="paragraph" w:styleId="Heading3">
    <w:name w:val="heading 3"/>
    <w:basedOn w:val="Normal"/>
    <w:next w:val="Normal"/>
    <w:link w:val="Heading3Char"/>
    <w:uiPriority w:val="9"/>
    <w:unhideWhenUsed/>
    <w:qFormat/>
    <w:rsid w:val="00FC693F"/>
    <w:pPr>
      <w:keepNext/>
      <w:keepLines/>
      <w:spacing w:before="160" w:after="80" w:line="288" w:lineRule="auto"/>
      <w:outlineLvl w:val="2"/>
    </w:pPr>
    <w:rPr>
      <w:rFonts w:asciiTheme="majorHAnsi" w:eastAsiaTheme="majorEastAsia" w:hAnsiTheme="majorHAnsi" w:cstheme="majorBidi" w:ascii="黑体" w:hAnsi="黑体" w:eastAsia="黑体"/>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312" w:lineRule="auto"/>
      <w:contextualSpacing/>
    </w:pPr>
    <w:rPr>
      <w:rFonts w:ascii="Times New Roman" w:hAnsi="Times New Roman" w:eastAsia="宋体"/>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312" w:lineRule="auto"/>
      <w:contextualSpacing/>
    </w:pPr>
    <w:rPr>
      <w:rFonts w:ascii="Times New Roman" w:hAnsi="Times New Roman" w:eastAsia="宋体"/>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采购合同包（采购方）v1.1</dc:title>
  <dc:subject>M01 合同基础设施 · SaaS 采购合同</dc:subject>
  <dc:creator>法务OPC</dc:creator>
  <cp:keywords>SaaS采购,订阅,SLA,数据处理,退出,合同模板</cp:keywords>
  <dc:description>2026-10-30 验收修订：与M01正文v0.5和配套v1.1一致；模拟模板，正式使用前核验场景、授权及最新法律。</dc:description>
  <cp:lastModifiedBy>法务OPC</cp:lastModifiedBy>
  <cp:revision>1</cp:revision>
  <dcterms:created xsi:type="dcterms:W3CDTF">2013-12-23T23:15:00Z</dcterms:created>
  <dcterms:modified xsi:type="dcterms:W3CDTF">2013-12-23T23:15:00Z</dcterms:modified>
  <cp:category>合同模板</cp:category>
  <cp:version>v1.1</cp:version>
</cp:coreProperties>
</file>