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800" w:after="240" w:line="324" w:lineRule="auto"/>
        <w:jc w:val="center"/>
      </w:pPr>
      <w:r>
        <w:rPr>
          <w:rFonts w:ascii="Times New Roman" w:hAnsi="Times New Roman" w:eastAsia="宋体"/>
          <w:b/>
          <w:color w:val="1F4E79"/>
          <w:sz w:val="20"/>
        </w:rPr>
        <w:t>M01 合同基础设施 · 可填写模板</w:t>
      </w:r>
    </w:p>
    <w:p>
      <w:pPr>
        <w:keepNext w:val="0"/>
        <w:spacing w:before="0" w:after="160" w:line="264" w:lineRule="auto"/>
        <w:jc w:val="center"/>
      </w:pPr>
      <w:r>
        <w:rPr>
          <w:rFonts w:ascii="Times New Roman" w:hAnsi="Times New Roman" w:eastAsia="宋体"/>
          <w:b/>
          <w:color w:val="1F2937"/>
          <w:sz w:val="56"/>
        </w:rPr>
        <w:t>采购服务合同</w:t>
      </w:r>
    </w:p>
    <w:p>
      <w:pPr>
        <w:keepNext w:val="0"/>
        <w:spacing w:before="0" w:after="200" w:line="324" w:lineRule="auto"/>
        <w:jc w:val="center"/>
      </w:pPr>
      <w:r>
        <w:rPr>
          <w:rFonts w:ascii="Times New Roman" w:hAnsi="Times New Roman" w:eastAsia="宋体"/>
          <w:b w:val="0"/>
          <w:color w:val="595959"/>
          <w:sz w:val="22"/>
        </w:rPr>
        <w:t>SERVICE AGREEMENT (CUSTOMER-SIDE)  ·  主合同 + 工作说明书 + 验收单 + 变更单</w:t>
      </w:r>
    </w:p>
    <w:tbl>
      <w:tblPr>
        <w:tblW w:type="auto" w:w="0"/>
        <w:jc w:val="center"/>
        <w:tblLook w:firstColumn="1" w:firstRow="1" w:lastColumn="0" w:lastRow="0" w:noHBand="0" w:noVBand="1" w:val="04A0"/>
      </w:tblPr>
      <w:tblGrid>
        <w:gridCol w:w="9412"/>
      </w:tblGrid>
      <w:tr>
        <w:tc>
          <w:tcPr>
            <w:tcW w:type="dxa" w:w="6803"/>
            <w:shd w:fill="1F4E79"/>
          </w:tcPr>
          <w:p>
            <w:pPr>
              <w:spacing w:after="0"/>
            </w:pPr>
            <w:r>
              <w:rPr>
                <w:sz w:val="4"/>
              </w:rPr>
              <w:t xml:space="preserve"> </w:t>
            </w:r>
          </w:p>
        </w:tc>
      </w:tr>
    </w:tbl>
    <w:p>
      <w:pPr>
        <w:keepNext w:val="0"/>
        <w:spacing w:before="0" w:after="0" w:line="40" w:lineRule="exact"/>
      </w:pP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4706"/>
        <w:gridCol w:w="4706"/>
      </w:tblGrid>
      <w:tr>
        <w:trPr>
          <w:tblHeader w:val="true"/>
        </w:trPr>
        <w:tc>
          <w:tcPr>
            <w:tcW w:type="dxa" w:w="2381"/>
            <w:vAlign w:val="center"/>
            <w:tcMar>
              <w:top w:w="60" w:type="dxa"/>
              <w:start w:w="90" w:type="dxa"/>
              <w:bottom w:w="60" w:type="dxa"/>
              <w:end w:w="90" w:type="dxa"/>
            </w:tcMar>
            <w:shd w:fill="2E4B66"/>
          </w:tcPr>
          <w:p>
            <w:pPr>
              <w:spacing w:after="0"/>
              <w:jc w:val="center"/>
            </w:pPr>
            <w:r>
              <w:rPr>
                <w:rFonts w:ascii="黑体" w:hAnsi="黑体" w:eastAsia="黑体"/>
                <w:b/>
                <w:color w:val="FFFFFF"/>
                <w:sz w:val="18"/>
              </w:rPr>
              <w:t>文件信息</w:t>
            </w:r>
          </w:p>
        </w:tc>
        <w:tc>
          <w:tcPr>
            <w:tcW w:type="dxa" w:w="5953"/>
            <w:vAlign w:val="center"/>
            <w:tcMar>
              <w:top w:w="60" w:type="dxa"/>
              <w:start w:w="90" w:type="dxa"/>
              <w:bottom w:w="60" w:type="dxa"/>
              <w:end w:w="90" w:type="dxa"/>
            </w:tcMar>
            <w:shd w:fill="2E4B66"/>
          </w:tcPr>
          <w:p>
            <w:pPr>
              <w:spacing w:after="0"/>
              <w:jc w:val="center"/>
            </w:pPr>
            <w:r>
              <w:rPr>
                <w:rFonts w:ascii="黑体" w:hAnsi="黑体" w:eastAsia="黑体"/>
                <w:b/>
                <w:color w:val="FFFFFF"/>
                <w:sz w:val="18"/>
              </w:rPr>
              <w:t>内容</w:t>
            </w:r>
          </w:p>
        </w:tc>
      </w:tr>
      <w:tr>
        <w:trPr>
          <w:cantSplit/>
        </w:trPr>
        <w:tc>
          <w:tcPr>
            <w:tcW w:type="dxa" w:w="2381"/>
            <w:vAlign w:val="center"/>
            <w:tcMar>
              <w:top w:w="60" w:type="dxa"/>
              <w:start w:w="90" w:type="dxa"/>
              <w:bottom w:w="60" w:type="dxa"/>
              <w:end w:w="90" w:type="dxa"/>
            </w:tcMar>
          </w:tcPr>
          <w:p>
            <w:pPr>
              <w:spacing w:after="0" w:line="276" w:lineRule="auto"/>
            </w:pPr>
            <w:r>
              <w:rPr>
                <w:rFonts w:ascii="Times New Roman" w:hAnsi="Times New Roman" w:eastAsia="宋体"/>
                <w:b/>
                <w:sz w:val="18"/>
              </w:rPr>
              <w:t>模板编号</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8"/>
              </w:rPr>
              <w:t>TPL-SVC-BUY-01</w:t>
            </w:r>
          </w:p>
        </w:tc>
      </w:tr>
      <w:tr>
        <w:trPr>
          <w:cantSplit/>
        </w:trPr>
        <w:tc>
          <w:tcPr>
            <w:tcW w:type="dxa" w:w="2381"/>
            <w:vAlign w:val="center"/>
            <w:tcMar>
              <w:top w:w="60" w:type="dxa"/>
              <w:start w:w="90" w:type="dxa"/>
              <w:bottom w:w="60" w:type="dxa"/>
              <w:end w:w="90" w:type="dxa"/>
            </w:tcMar>
          </w:tcPr>
          <w:p>
            <w:pPr>
              <w:spacing w:after="0" w:line="276" w:lineRule="auto"/>
            </w:pPr>
            <w:r>
              <w:rPr>
                <w:rFonts w:ascii="Times New Roman" w:hAnsi="Times New Roman" w:eastAsia="宋体"/>
                <w:b/>
                <w:sz w:val="18"/>
              </w:rPr>
              <w:t>模板版本</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8"/>
              </w:rPr>
              <w:t>v1.1（2026-10-30 生效；替代 v0.1）</w:t>
            </w:r>
          </w:p>
        </w:tc>
      </w:tr>
      <w:tr>
        <w:trPr>
          <w:cantSplit/>
        </w:trPr>
        <w:tc>
          <w:tcPr>
            <w:tcW w:type="dxa" w:w="2381"/>
            <w:vAlign w:val="center"/>
            <w:tcMar>
              <w:top w:w="60" w:type="dxa"/>
              <w:start w:w="90" w:type="dxa"/>
              <w:bottom w:w="60" w:type="dxa"/>
              <w:end w:w="90" w:type="dxa"/>
            </w:tcMar>
          </w:tcPr>
          <w:p>
            <w:pPr>
              <w:spacing w:after="0" w:line="276" w:lineRule="auto"/>
            </w:pPr>
            <w:r>
              <w:rPr>
                <w:rFonts w:ascii="Times New Roman" w:hAnsi="Times New Roman" w:eastAsia="宋体"/>
                <w:b/>
                <w:sz w:val="18"/>
              </w:rPr>
              <w:t>适用交易</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8"/>
              </w:rPr>
              <w:t>我方作为采购方，采购可书面描述、可分阶段验收的一般企业服务（咨询、流程梳理、培训、设计、实施等）</w:t>
            </w:r>
          </w:p>
        </w:tc>
      </w:tr>
      <w:tr>
        <w:trPr>
          <w:cantSplit/>
        </w:trPr>
        <w:tc>
          <w:tcPr>
            <w:tcW w:type="dxa" w:w="2381"/>
            <w:vAlign w:val="center"/>
            <w:tcMar>
              <w:top w:w="60" w:type="dxa"/>
              <w:start w:w="90" w:type="dxa"/>
              <w:bottom w:w="60" w:type="dxa"/>
              <w:end w:w="90" w:type="dxa"/>
            </w:tcMar>
          </w:tcPr>
          <w:p>
            <w:pPr>
              <w:spacing w:after="0" w:line="276" w:lineRule="auto"/>
            </w:pPr>
            <w:r>
              <w:rPr>
                <w:rFonts w:ascii="Times New Roman" w:hAnsi="Times New Roman" w:eastAsia="宋体"/>
                <w:b/>
                <w:sz w:val="18"/>
              </w:rPr>
              <w:t>我方角色</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8"/>
              </w:rPr>
              <w:t>采购方/甲方</w:t>
            </w:r>
          </w:p>
        </w:tc>
      </w:tr>
      <w:tr>
        <w:trPr>
          <w:cantSplit/>
        </w:trPr>
        <w:tc>
          <w:tcPr>
            <w:tcW w:type="dxa" w:w="2381"/>
            <w:vAlign w:val="center"/>
            <w:tcMar>
              <w:top w:w="60" w:type="dxa"/>
              <w:start w:w="90" w:type="dxa"/>
              <w:bottom w:w="60" w:type="dxa"/>
              <w:end w:w="90" w:type="dxa"/>
            </w:tcMar>
          </w:tcPr>
          <w:p>
            <w:pPr>
              <w:spacing w:after="0" w:line="276" w:lineRule="auto"/>
            </w:pPr>
            <w:r>
              <w:rPr>
                <w:rFonts w:ascii="Times New Roman" w:hAnsi="Times New Roman" w:eastAsia="宋体"/>
                <w:b/>
                <w:sz w:val="18"/>
              </w:rPr>
              <w:t>文件组成</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填写说明、重要条款提示、主合同、附件一工作说明书、附件二验收单、附件三变更单、签署页</w:t>
            </w:r>
          </w:p>
        </w:tc>
      </w:tr>
      <w:tr>
        <w:trPr>
          <w:cantSplit/>
        </w:trPr>
        <w:tc>
          <w:tcPr>
            <w:tcW w:type="dxa" w:w="2381"/>
            <w:vAlign w:val="center"/>
            <w:tcMar>
              <w:top w:w="60" w:type="dxa"/>
              <w:start w:w="90" w:type="dxa"/>
              <w:bottom w:w="60" w:type="dxa"/>
              <w:end w:w="90" w:type="dxa"/>
            </w:tcMar>
          </w:tcPr>
          <w:p>
            <w:pPr>
              <w:spacing w:after="0" w:line="276" w:lineRule="auto"/>
            </w:pPr>
            <w:r>
              <w:rPr>
                <w:rFonts w:ascii="Times New Roman" w:hAnsi="Times New Roman" w:eastAsia="宋体"/>
                <w:b/>
                <w:sz w:val="18"/>
              </w:rPr>
              <w:t>配套文件</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8"/>
              </w:rPr>
              <w:t>template-family-v1.1.md、clause-playbook-v1.1.md、approval-register-v1.1.xlsx、signing-performance-sop-v1.1.md</w:t>
            </w:r>
          </w:p>
        </w:tc>
      </w:tr>
    </w:tbl>
    <w:p>
      <w:pPr>
        <w:spacing w:after="0" w:before="0" w:line="40" w:lineRule="exact"/>
      </w:pPr>
    </w:p>
    <w:p>
      <w:pPr>
        <w:keepNext w:val="0"/>
        <w:spacing w:before="0" w:after="0" w:line="40" w:lineRule="exact"/>
      </w:pPr>
    </w:p>
    <w:tbl>
      <w:tblPr>
        <w:tblW w:type="auto" w:w="0"/>
        <w:jc w:val="center"/>
        <w:tblLook w:firstColumn="1" w:firstRow="1" w:lastColumn="0" w:lastRow="0" w:noHBand="0" w:noVBand="1" w:val="04A0"/>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Grid>
        <w:gridCol w:w="9412"/>
      </w:tblGrid>
      <w:tr>
        <w:tc>
          <w:tcPr>
            <w:tcW w:type="dxa" w:w="9412"/>
            <w:tcMar>
              <w:top w:w="90" w:type="dxa"/>
              <w:start w:w="140" w:type="dxa"/>
              <w:bottom w:w="90" w:type="dxa"/>
              <w:end w:w="140" w:type="dxa"/>
            </w:tcMar>
            <w:shd w:fill="FCE4D6"/>
          </w:tcPr>
          <w:p>
            <w:pPr>
              <w:spacing w:after="40"/>
            </w:pPr>
            <w:r>
              <w:rPr>
                <w:rFonts w:ascii="黑体" w:hAnsi="黑体" w:eastAsia="黑体"/>
                <w:b/>
                <w:color w:val="1F4E79"/>
                <w:sz w:val="19"/>
              </w:rPr>
              <w:t>使用前必读</w:t>
            </w:r>
          </w:p>
          <w:p>
            <w:pPr>
              <w:spacing w:after="20" w:line="300" w:lineRule="auto"/>
            </w:pPr>
            <w:r>
              <w:rPr>
                <w:rFonts w:ascii="Times New Roman" w:hAnsi="Times New Roman" w:eastAsia="宋体"/>
                <w:sz w:val="18"/>
              </w:rPr>
              <w:t>本文件是模拟模板，不构成法律意见，也不代表任何真实公司的制度。</w:t>
            </w:r>
          </w:p>
          <w:p>
            <w:pPr>
              <w:spacing w:after="20" w:line="300" w:lineRule="auto"/>
            </w:pPr>
            <w:r>
              <w:rPr>
                <w:rFonts w:ascii="Times New Roman" w:hAnsi="Times New Roman" w:eastAsia="宋体"/>
                <w:sz w:val="18"/>
              </w:rPr>
              <w:t>不适用于软件许可、SaaS、源代码交付、建设工程、设备安装、劳动用工/劳务派遣、长期驻场运维、个人信息委托处理、跨境服务或其他需要专项审批的交易。</w:t>
            </w:r>
          </w:p>
          <w:p>
            <w:pPr>
              <w:spacing w:after="20" w:line="300" w:lineRule="auto"/>
            </w:pPr>
            <w:r>
              <w:rPr>
                <w:rFonts w:ascii="Times New Roman" w:hAnsi="Times New Roman" w:eastAsia="宋体"/>
                <w:sz w:val="18"/>
              </w:rPr>
              <w:t>主合同使用通用付款节点；具体交付物名称、验收标准和金额放入工作说明书和案例，不在主合同写死。</w:t>
            </w:r>
          </w:p>
          <w:p>
            <w:pPr>
              <w:spacing w:after="20" w:line="300" w:lineRule="auto"/>
            </w:pPr>
            <w:r>
              <w:rPr>
                <w:rFonts w:ascii="Times New Roman" w:hAnsi="Times New Roman" w:eastAsia="宋体"/>
                <w:sz w:val="18"/>
              </w:rPr>
              <w:t>填写说明和封面在正式签署文本中移除；“重要条款提示”、主合同、附件一至三和签署页应随签署文本保留。</w:t>
            </w:r>
          </w:p>
        </w:tc>
      </w:tr>
    </w:tbl>
    <w:p>
      <w:pPr>
        <w:spacing w:after="0" w:before="0" w:line="40" w:lineRule="exact"/>
      </w:pPr>
    </w:p>
    <w:p>
      <w:pPr>
        <w:keepNext w:val="0"/>
        <w:spacing w:before="0" w:after="0" w:line="40" w:lineRule="exact"/>
      </w:pPr>
    </w:p>
    <w:p>
      <w:pPr>
        <w:keepNext w:val="0"/>
        <w:spacing w:before="0" w:after="80" w:line="324" w:lineRule="auto"/>
        <w:jc w:val="center"/>
      </w:pPr>
      <w:r>
        <w:rPr>
          <w:rFonts w:ascii="Times New Roman" w:hAnsi="Times New Roman" w:eastAsia="宋体"/>
          <w:b w:val="0"/>
          <w:color w:val="7F7F7F"/>
          <w:sz w:val="18"/>
        </w:rPr>
        <w:t>版本 v1.1  ·  2026-10-30</w:t>
      </w:r>
    </w:p>
    <w:p>
      <w:pPr>
        <w:pStyle w:val="Heading1"/>
        <w:pageBreakBefore/>
      </w:pPr>
      <w:r>
        <w:t>填写说明（签署时移除本说明和封面）</w:t>
      </w:r>
    </w:p>
    <w:p>
      <w:pPr>
        <w:keepNext w:val="0"/>
        <w:spacing w:before="0" w:after="60" w:line="300" w:lineRule="auto"/>
      </w:pPr>
      <w:r>
        <w:rPr>
          <w:rFonts w:ascii="Times New Roman" w:hAnsi="Times New Roman" w:eastAsia="宋体"/>
          <w:b w:val="0"/>
          <w:color w:val="404040"/>
          <w:sz w:val="19"/>
        </w:rPr>
        <w:t>本说明是模板的使用手册，不是合同正文。正式签署时，应移除封面和本说明，保留“重要条款提示”、主合同、工作说明书、验收单、变更单和签署页。</w:t>
      </w:r>
    </w:p>
    <w:p>
      <w:pPr>
        <w:pStyle w:val="Heading2"/>
      </w:pPr>
      <w:r>
        <w:t>一、这份模板的适用边界</w:t>
      </w:r>
    </w:p>
    <w:p>
      <w:pPr>
        <w:keepNext w:val="0"/>
        <w:spacing w:before="0" w:after="60" w:line="300" w:lineRule="auto"/>
      </w:pPr>
      <w:r>
        <w:rPr>
          <w:rFonts w:ascii="Times New Roman" w:hAnsi="Times New Roman" w:eastAsia="宋体"/>
          <w:b w:val="0"/>
          <w:sz w:val="19"/>
        </w:rPr>
        <w:t>适用于：我方作为采购方，购买咨询、流程梳理、培训、设计、实施等可书面描述、可分阶段验收的一般企业服务。判断合同性质时，应结合服务内容、成果形式、人员管理方式和风险分配，识别其是否更接近承揽、委托或技术服务，再核对相应的合同规则；不能仅凭合同名称确定法律性质。</w:t>
      </w:r>
    </w:p>
    <w:p>
      <w:pPr>
        <w:keepNext w:val="0"/>
        <w:spacing w:before="0" w:after="60" w:line="300" w:lineRule="auto"/>
      </w:pPr>
      <w:r>
        <w:rPr>
          <w:rFonts w:ascii="Times New Roman" w:hAnsi="Times New Roman" w:eastAsia="宋体"/>
          <w:b w:val="0"/>
          <w:sz w:val="19"/>
        </w:rPr>
        <w:t>不适用于：软件许可、SaaS、源代码交付、建设工程、设备安装、劳动用工/劳务派遣、长期驻场运维、委托处理个人信息、跨境服务或其他需要专项审批的交易。遇到上述情形，应暂停使用本模板，转专项审查或使用专门模板。</w:t>
      </w:r>
    </w:p>
    <w:p>
      <w:pPr>
        <w:pStyle w:val="Heading2"/>
      </w:pPr>
      <w:r>
        <w:t>二、文件组成与优先顺序</w:t>
      </w:r>
    </w:p>
    <w:p>
      <w:pPr>
        <w:keepNext w:val="0"/>
        <w:spacing w:before="0" w:after="60" w:line="300" w:lineRule="auto"/>
      </w:pPr>
      <w:r>
        <w:rPr>
          <w:rFonts w:ascii="Times New Roman" w:hAnsi="Times New Roman" w:eastAsia="宋体"/>
          <w:b w:val="0"/>
          <w:sz w:val="19"/>
        </w:rPr>
        <w:t>文件不一致时，按“最后签署的变更单 &gt; 主合同正文 &gt; 工作说明书 &gt; 验收单 &gt; 其他附件”的顺序解释。验收单只记录验收事实、缺陷、整改和关闭情况，不改变合同；如需调整范围、价款、工期或验收标准，必须签署变更单。</w:t>
      </w:r>
    </w:p>
    <w:p>
      <w:pPr>
        <w:pStyle w:val="Heading2"/>
      </w:pPr>
      <w:r>
        <w:t>三、三种操作必须分开</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2353"/>
        <w:gridCol w:w="2353"/>
        <w:gridCol w:w="2353"/>
        <w:gridCol w:w="2353"/>
      </w:tblGrid>
      <w:tr>
        <w:trPr>
          <w:tblHeader w:val="true"/>
        </w:trPr>
        <w:tc>
          <w:tcPr>
            <w:tcW w:type="dxa" w:w="1587"/>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操作</w:t>
            </w:r>
          </w:p>
        </w:tc>
        <w:tc>
          <w:tcPr>
            <w:tcW w:type="dxa" w:w="2948"/>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允许做什么</w:t>
            </w:r>
          </w:p>
        </w:tc>
        <w:tc>
          <w:tcPr>
            <w:tcW w:type="dxa" w:w="2608"/>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不能做什么</w:t>
            </w:r>
          </w:p>
        </w:tc>
        <w:tc>
          <w:tcPr>
            <w:tcW w:type="dxa" w:w="2154"/>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记录</w:t>
            </w:r>
          </w:p>
        </w:tc>
      </w:tr>
      <w:tr>
        <w:trPr>
          <w:cantSplit/>
        </w:trPr>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8"/>
              </w:rPr>
              <w:t>A 填写变量</w:t>
            </w:r>
          </w:p>
        </w:tc>
        <w:tc>
          <w:tcPr>
            <w:tcW w:type="dxa" w:w="2948"/>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填写主体、日期、金额、比例、人员、地址等预留字段</w:t>
            </w:r>
          </w:p>
        </w:tc>
        <w:tc>
          <w:tcPr>
            <w:tcW w:type="dxa" w:w="2608"/>
            <w:vAlign w:val="center"/>
            <w:tcMar>
              <w:top w:w="60" w:type="dxa"/>
              <w:start w:w="90" w:type="dxa"/>
              <w:bottom w:w="60" w:type="dxa"/>
              <w:end w:w="90" w:type="dxa"/>
            </w:tcMar>
          </w:tcPr>
          <w:p>
            <w:pPr>
              <w:spacing w:after="0" w:line="276" w:lineRule="auto"/>
            </w:pPr>
            <w:r>
              <w:rPr>
                <w:rFonts w:ascii="Times New Roman" w:hAnsi="Times New Roman" w:eastAsia="宋体"/>
                <w:b w:val="0"/>
                <w:sz w:val="18"/>
              </w:rPr>
              <w:t>不改条款文字，不新增义务</w:t>
            </w:r>
          </w:p>
        </w:tc>
        <w:tc>
          <w:tcPr>
            <w:tcW w:type="dxa" w:w="2154"/>
            <w:vAlign w:val="center"/>
            <w:tcMar>
              <w:top w:w="60" w:type="dxa"/>
              <w:start w:w="90" w:type="dxa"/>
              <w:bottom w:w="60" w:type="dxa"/>
              <w:end w:w="90" w:type="dxa"/>
            </w:tcMar>
          </w:tcPr>
          <w:p>
            <w:pPr>
              <w:spacing w:after="0" w:line="276" w:lineRule="auto"/>
            </w:pPr>
            <w:r>
              <w:rPr>
                <w:rFonts w:ascii="Times New Roman" w:hAnsi="Times New Roman" w:eastAsia="宋体"/>
                <w:b w:val="0"/>
                <w:sz w:val="18"/>
              </w:rPr>
              <w:t>台账记录模板版本和填写值</w:t>
            </w:r>
          </w:p>
        </w:tc>
      </w:tr>
      <w:tr>
        <w:trPr>
          <w:cantSplit/>
        </w:trPr>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8"/>
              </w:rPr>
              <w:t>B 采用备选条款</w:t>
            </w:r>
          </w:p>
        </w:tc>
        <w:tc>
          <w:tcPr>
            <w:tcW w:type="dxa" w:w="2948"/>
            <w:vAlign w:val="center"/>
            <w:tcMar>
              <w:top w:w="60" w:type="dxa"/>
              <w:start w:w="90" w:type="dxa"/>
              <w:bottom w:w="60" w:type="dxa"/>
              <w:end w:w="90" w:type="dxa"/>
            </w:tcMar>
          </w:tcPr>
          <w:p>
            <w:pPr>
              <w:spacing w:after="0" w:line="276" w:lineRule="auto"/>
            </w:pPr>
            <w:r>
              <w:rPr>
                <w:rFonts w:ascii="Times New Roman" w:hAnsi="Times New Roman" w:eastAsia="宋体"/>
                <w:b w:val="0"/>
                <w:sz w:val="18"/>
              </w:rPr>
              <w:t>从条款库选择完整备选文字并满足接受条件</w:t>
            </w:r>
          </w:p>
        </w:tc>
        <w:tc>
          <w:tcPr>
            <w:tcW w:type="dxa" w:w="2608"/>
            <w:vAlign w:val="center"/>
            <w:tcMar>
              <w:top w:w="60" w:type="dxa"/>
              <w:start w:w="90" w:type="dxa"/>
              <w:bottom w:w="60" w:type="dxa"/>
              <w:end w:w="90" w:type="dxa"/>
            </w:tcMar>
          </w:tcPr>
          <w:p>
            <w:pPr>
              <w:spacing w:after="0" w:line="276" w:lineRule="auto"/>
            </w:pPr>
            <w:r>
              <w:rPr>
                <w:rFonts w:ascii="Times New Roman" w:hAnsi="Times New Roman" w:eastAsia="宋体"/>
                <w:b w:val="0"/>
                <w:sz w:val="18"/>
              </w:rPr>
              <w:t>不把备选文字与默认文字拼接</w:t>
            </w:r>
          </w:p>
        </w:tc>
        <w:tc>
          <w:tcPr>
            <w:tcW w:type="dxa" w:w="2154"/>
            <w:vAlign w:val="center"/>
            <w:tcMar>
              <w:top w:w="60" w:type="dxa"/>
              <w:start w:w="90" w:type="dxa"/>
              <w:bottom w:w="60" w:type="dxa"/>
              <w:end w:w="90" w:type="dxa"/>
            </w:tcMar>
          </w:tcPr>
          <w:p>
            <w:pPr>
              <w:spacing w:after="0" w:line="276" w:lineRule="auto"/>
            </w:pPr>
            <w:r>
              <w:rPr>
                <w:rFonts w:ascii="Times New Roman" w:hAnsi="Times New Roman" w:eastAsia="宋体"/>
                <w:b w:val="0"/>
                <w:sz w:val="18"/>
              </w:rPr>
              <w:t>偏离明细登记；至少 R2 法务审查</w:t>
            </w:r>
          </w:p>
        </w:tc>
      </w:tr>
      <w:tr>
        <w:trPr>
          <w:cantSplit/>
        </w:trPr>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8"/>
              </w:rPr>
              <w:t>C 实质偏离</w:t>
            </w:r>
          </w:p>
        </w:tc>
        <w:tc>
          <w:tcPr>
            <w:tcW w:type="dxa" w:w="2948"/>
            <w:vAlign w:val="center"/>
            <w:tcMar>
              <w:top w:w="60" w:type="dxa"/>
              <w:start w:w="90" w:type="dxa"/>
              <w:bottom w:w="60" w:type="dxa"/>
              <w:end w:w="90" w:type="dxa"/>
            </w:tcMar>
          </w:tcPr>
          <w:p>
            <w:pPr>
              <w:spacing w:after="0" w:line="276" w:lineRule="auto"/>
            </w:pPr>
            <w:r>
              <w:rPr>
                <w:rFonts w:ascii="Times New Roman" w:hAnsi="Times New Roman" w:eastAsia="宋体"/>
                <w:b w:val="0"/>
                <w:sz w:val="18"/>
              </w:rPr>
              <w:t>新增、删除、改写条款，改变责任、权属、验收、付款、解除等安排</w:t>
            </w:r>
          </w:p>
        </w:tc>
        <w:tc>
          <w:tcPr>
            <w:tcW w:type="dxa" w:w="2608"/>
            <w:vAlign w:val="center"/>
            <w:tcMar>
              <w:top w:w="60" w:type="dxa"/>
              <w:start w:w="90" w:type="dxa"/>
              <w:bottom w:w="60" w:type="dxa"/>
              <w:end w:w="90" w:type="dxa"/>
            </w:tcMar>
          </w:tcPr>
          <w:p>
            <w:pPr>
              <w:spacing w:after="0" w:line="276" w:lineRule="auto"/>
            </w:pPr>
            <w:r>
              <w:rPr>
                <w:rFonts w:ascii="Times New Roman" w:hAnsi="Times New Roman" w:eastAsia="宋体"/>
                <w:b w:val="0"/>
                <w:sz w:val="18"/>
              </w:rPr>
              <w:t>不自行定稿，不伪装成“填空”</w:t>
            </w:r>
          </w:p>
        </w:tc>
        <w:tc>
          <w:tcPr>
            <w:tcW w:type="dxa" w:w="2154"/>
            <w:vAlign w:val="center"/>
            <w:tcMar>
              <w:top w:w="60" w:type="dxa"/>
              <w:start w:w="90" w:type="dxa"/>
              <w:bottom w:w="60" w:type="dxa"/>
              <w:end w:w="90" w:type="dxa"/>
            </w:tcMar>
          </w:tcPr>
          <w:p>
            <w:pPr>
              <w:spacing w:after="0" w:line="276" w:lineRule="auto"/>
            </w:pPr>
            <w:r>
              <w:rPr>
                <w:rFonts w:ascii="Times New Roman" w:hAnsi="Times New Roman" w:eastAsia="宋体"/>
                <w:b w:val="0"/>
                <w:sz w:val="18"/>
              </w:rPr>
              <w:t>偏离明细登记基准文字、最终文字、影响和补偿</w:t>
            </w:r>
          </w:p>
        </w:tc>
      </w:tr>
    </w:tbl>
    <w:p>
      <w:pPr>
        <w:spacing w:after="60" w:line="300" w:lineRule="auto"/>
      </w:pPr>
    </w:p>
    <w:p>
      <w:pPr>
        <w:pStyle w:val="Heading2"/>
      </w:pPr>
      <w:r>
        <w:t>四、必填字段与常见错误</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3137"/>
        <w:gridCol w:w="3137"/>
        <w:gridCol w:w="3137"/>
      </w:tblGrid>
      <w:tr>
        <w:trPr>
          <w:tblHeader w:val="true"/>
        </w:trPr>
        <w:tc>
          <w:tcPr>
            <w:tcW w:type="dxa" w:w="2041"/>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字段</w:t>
            </w:r>
          </w:p>
        </w:tc>
        <w:tc>
          <w:tcPr>
            <w:tcW w:type="dxa" w:w="2494"/>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填写位置</w:t>
            </w:r>
          </w:p>
        </w:tc>
        <w:tc>
          <w:tcPr>
            <w:tcW w:type="dxa" w:w="4762"/>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要求/常见错误</w:t>
            </w:r>
          </w:p>
        </w:tc>
      </w:tr>
      <w:tr>
        <w:trPr>
          <w:cantSplit/>
        </w:trPr>
        <w:tc>
          <w:tcPr>
            <w:tcW w:type="dxa" w:w="2041"/>
            <w:vAlign w:val="center"/>
            <w:tcMar>
              <w:top w:w="60" w:type="dxa"/>
              <w:start w:w="90" w:type="dxa"/>
              <w:bottom w:w="60" w:type="dxa"/>
              <w:end w:w="90" w:type="dxa"/>
            </w:tcMar>
          </w:tcPr>
          <w:p>
            <w:pPr>
              <w:spacing w:after="0" w:line="276" w:lineRule="auto"/>
            </w:pPr>
            <w:r>
              <w:rPr>
                <w:rFonts w:ascii="Times New Roman" w:hAnsi="Times New Roman" w:eastAsia="宋体"/>
                <w:b/>
                <w:sz w:val="18"/>
              </w:rPr>
              <w:t>合同编号、项目编号</w:t>
            </w:r>
          </w:p>
        </w:tc>
        <w:tc>
          <w:tcPr>
            <w:tcW w:type="dxa" w:w="2494"/>
            <w:vAlign w:val="center"/>
            <w:tcMar>
              <w:top w:w="60" w:type="dxa"/>
              <w:start w:w="90" w:type="dxa"/>
              <w:bottom w:w="60" w:type="dxa"/>
              <w:end w:w="90" w:type="dxa"/>
            </w:tcMar>
          </w:tcPr>
          <w:p>
            <w:pPr>
              <w:spacing w:after="0" w:line="276" w:lineRule="auto"/>
            </w:pPr>
            <w:r>
              <w:rPr>
                <w:rFonts w:ascii="Times New Roman" w:hAnsi="Times New Roman" w:eastAsia="宋体"/>
                <w:b w:val="0"/>
                <w:sz w:val="18"/>
              </w:rPr>
              <w:t>首部、台账</w:t>
            </w:r>
          </w:p>
        </w:tc>
        <w:tc>
          <w:tcPr>
            <w:tcW w:type="dxa" w:w="4762"/>
            <w:vAlign w:val="center"/>
            <w:tcMar>
              <w:top w:w="60" w:type="dxa"/>
              <w:start w:w="90" w:type="dxa"/>
              <w:bottom w:w="60" w:type="dxa"/>
              <w:end w:w="90" w:type="dxa"/>
            </w:tcMar>
          </w:tcPr>
          <w:p>
            <w:pPr>
              <w:spacing w:after="0" w:line="276" w:lineRule="auto"/>
            </w:pPr>
            <w:r>
              <w:rPr>
                <w:rFonts w:ascii="Times New Roman" w:hAnsi="Times New Roman" w:eastAsia="宋体"/>
                <w:b w:val="0"/>
                <w:sz w:val="18"/>
              </w:rPr>
              <w:t>唯一；同一项目多份合同共用项目编号，用于累计承诺</w:t>
            </w:r>
          </w:p>
        </w:tc>
      </w:tr>
      <w:tr>
        <w:trPr>
          <w:cantSplit/>
        </w:trPr>
        <w:tc>
          <w:tcPr>
            <w:tcW w:type="dxa" w:w="2041"/>
            <w:vAlign w:val="center"/>
            <w:tcMar>
              <w:top w:w="60" w:type="dxa"/>
              <w:start w:w="90" w:type="dxa"/>
              <w:bottom w:w="60" w:type="dxa"/>
              <w:end w:w="90" w:type="dxa"/>
            </w:tcMar>
          </w:tcPr>
          <w:p>
            <w:pPr>
              <w:spacing w:after="0" w:line="276" w:lineRule="auto"/>
            </w:pPr>
            <w:r>
              <w:rPr>
                <w:rFonts w:ascii="Times New Roman" w:hAnsi="Times New Roman" w:eastAsia="宋体"/>
                <w:b/>
                <w:sz w:val="18"/>
              </w:rPr>
              <w:t>双方主体</w:t>
            </w:r>
          </w:p>
        </w:tc>
        <w:tc>
          <w:tcPr>
            <w:tcW w:type="dxa" w:w="2494"/>
            <w:vAlign w:val="center"/>
            <w:tcMar>
              <w:top w:w="60" w:type="dxa"/>
              <w:start w:w="90" w:type="dxa"/>
              <w:bottom w:w="60" w:type="dxa"/>
              <w:end w:w="90" w:type="dxa"/>
            </w:tcMar>
          </w:tcPr>
          <w:p>
            <w:pPr>
              <w:spacing w:after="0" w:line="276" w:lineRule="auto"/>
            </w:pPr>
            <w:r>
              <w:rPr>
                <w:rFonts w:ascii="Times New Roman" w:hAnsi="Times New Roman" w:eastAsia="宋体"/>
                <w:b w:val="0"/>
                <w:sz w:val="18"/>
              </w:rPr>
              <w:t>首部、签署页</w:t>
            </w:r>
          </w:p>
        </w:tc>
        <w:tc>
          <w:tcPr>
            <w:tcW w:type="dxa" w:w="4762"/>
            <w:vAlign w:val="center"/>
            <w:tcMar>
              <w:top w:w="60" w:type="dxa"/>
              <w:start w:w="90" w:type="dxa"/>
              <w:bottom w:w="60" w:type="dxa"/>
              <w:end w:w="90" w:type="dxa"/>
            </w:tcMar>
          </w:tcPr>
          <w:p>
            <w:pPr>
              <w:spacing w:after="0" w:line="276" w:lineRule="auto"/>
            </w:pPr>
            <w:r>
              <w:rPr>
                <w:rFonts w:ascii="Times New Roman" w:hAnsi="Times New Roman" w:eastAsia="宋体"/>
                <w:b w:val="0"/>
                <w:sz w:val="18"/>
              </w:rPr>
              <w:t>与营业执照、用印主体、收款主体一致；不用品牌名或简称</w:t>
            </w:r>
          </w:p>
        </w:tc>
      </w:tr>
      <w:tr>
        <w:trPr>
          <w:cantSplit/>
        </w:trPr>
        <w:tc>
          <w:tcPr>
            <w:tcW w:type="dxa" w:w="2041"/>
            <w:vAlign w:val="center"/>
            <w:tcMar>
              <w:top w:w="60" w:type="dxa"/>
              <w:start w:w="90" w:type="dxa"/>
              <w:bottom w:w="60" w:type="dxa"/>
              <w:end w:w="90" w:type="dxa"/>
            </w:tcMar>
          </w:tcPr>
          <w:p>
            <w:pPr>
              <w:spacing w:after="0" w:line="276" w:lineRule="auto"/>
            </w:pPr>
            <w:r>
              <w:rPr>
                <w:rFonts w:ascii="Times New Roman" w:hAnsi="Times New Roman" w:eastAsia="宋体"/>
                <w:b/>
                <w:sz w:val="18"/>
              </w:rPr>
              <w:t>服务范围</w:t>
            </w:r>
          </w:p>
        </w:tc>
        <w:tc>
          <w:tcPr>
            <w:tcW w:type="dxa" w:w="2494"/>
            <w:vAlign w:val="center"/>
            <w:tcMar>
              <w:top w:w="60" w:type="dxa"/>
              <w:start w:w="90" w:type="dxa"/>
              <w:bottom w:w="60" w:type="dxa"/>
              <w:end w:w="90" w:type="dxa"/>
            </w:tcMar>
          </w:tcPr>
          <w:p>
            <w:pPr>
              <w:spacing w:after="0" w:line="276" w:lineRule="auto"/>
            </w:pPr>
            <w:r>
              <w:rPr>
                <w:rFonts w:ascii="Times New Roman" w:hAnsi="Times New Roman" w:eastAsia="宋体"/>
                <w:b w:val="0"/>
                <w:sz w:val="18"/>
              </w:rPr>
              <w:t>附件一 SOW</w:t>
            </w:r>
          </w:p>
        </w:tc>
        <w:tc>
          <w:tcPr>
            <w:tcW w:type="dxa" w:w="4762"/>
            <w:vAlign w:val="center"/>
            <w:tcMar>
              <w:top w:w="60" w:type="dxa"/>
              <w:start w:w="90" w:type="dxa"/>
              <w:bottom w:w="60" w:type="dxa"/>
              <w:end w:w="90" w:type="dxa"/>
            </w:tcMar>
          </w:tcPr>
          <w:p>
            <w:pPr>
              <w:spacing w:after="0" w:line="276" w:lineRule="auto"/>
            </w:pPr>
            <w:r>
              <w:rPr>
                <w:rFonts w:ascii="Times New Roman" w:hAnsi="Times New Roman" w:eastAsia="宋体"/>
                <w:b w:val="0"/>
                <w:sz w:val="18"/>
              </w:rPr>
              <w:t>写到可执行的动作、对象、数量和边界；不写“相关服务”“后续优化”</w:t>
            </w:r>
          </w:p>
        </w:tc>
      </w:tr>
      <w:tr>
        <w:trPr>
          <w:cantSplit/>
        </w:trPr>
        <w:tc>
          <w:tcPr>
            <w:tcW w:type="dxa" w:w="2041"/>
            <w:vAlign w:val="center"/>
            <w:tcMar>
              <w:top w:w="60" w:type="dxa"/>
              <w:start w:w="90" w:type="dxa"/>
              <w:bottom w:w="60" w:type="dxa"/>
              <w:end w:w="90" w:type="dxa"/>
            </w:tcMar>
          </w:tcPr>
          <w:p>
            <w:pPr>
              <w:spacing w:after="0" w:line="276" w:lineRule="auto"/>
            </w:pPr>
            <w:r>
              <w:rPr>
                <w:rFonts w:ascii="Times New Roman" w:hAnsi="Times New Roman" w:eastAsia="宋体"/>
                <w:b/>
                <w:sz w:val="18"/>
              </w:rPr>
              <w:t>排除项</w:t>
            </w:r>
          </w:p>
        </w:tc>
        <w:tc>
          <w:tcPr>
            <w:tcW w:type="dxa" w:w="2494"/>
            <w:vAlign w:val="center"/>
            <w:tcMar>
              <w:top w:w="60" w:type="dxa"/>
              <w:start w:w="90" w:type="dxa"/>
              <w:bottom w:w="60" w:type="dxa"/>
              <w:end w:w="90" w:type="dxa"/>
            </w:tcMar>
          </w:tcPr>
          <w:p>
            <w:pPr>
              <w:spacing w:after="0" w:line="276" w:lineRule="auto"/>
            </w:pPr>
            <w:r>
              <w:rPr>
                <w:rFonts w:ascii="Times New Roman" w:hAnsi="Times New Roman" w:eastAsia="宋体"/>
                <w:b w:val="0"/>
                <w:sz w:val="18"/>
              </w:rPr>
              <w:t>附件一 SOW</w:t>
            </w:r>
          </w:p>
        </w:tc>
        <w:tc>
          <w:tcPr>
            <w:tcW w:type="dxa" w:w="4762"/>
            <w:vAlign w:val="center"/>
            <w:tcMar>
              <w:top w:w="60" w:type="dxa"/>
              <w:start w:w="90" w:type="dxa"/>
              <w:bottom w:w="60" w:type="dxa"/>
              <w:end w:w="90" w:type="dxa"/>
            </w:tcMar>
          </w:tcPr>
          <w:p>
            <w:pPr>
              <w:spacing w:after="0" w:line="276" w:lineRule="auto"/>
            </w:pPr>
            <w:r>
              <w:rPr>
                <w:rFonts w:ascii="Times New Roman" w:hAnsi="Times New Roman" w:eastAsia="宋体"/>
                <w:b w:val="0"/>
                <w:sz w:val="18"/>
              </w:rPr>
              <w:t>明确不做什么，防止范围蔓延</w:t>
            </w:r>
          </w:p>
        </w:tc>
      </w:tr>
      <w:tr>
        <w:trPr>
          <w:cantSplit/>
        </w:trPr>
        <w:tc>
          <w:tcPr>
            <w:tcW w:type="dxa" w:w="2041"/>
            <w:vAlign w:val="center"/>
            <w:tcMar>
              <w:top w:w="60" w:type="dxa"/>
              <w:start w:w="90" w:type="dxa"/>
              <w:bottom w:w="60" w:type="dxa"/>
              <w:end w:w="90" w:type="dxa"/>
            </w:tcMar>
          </w:tcPr>
          <w:p>
            <w:pPr>
              <w:spacing w:after="0" w:line="276" w:lineRule="auto"/>
            </w:pPr>
            <w:r>
              <w:rPr>
                <w:rFonts w:ascii="Times New Roman" w:hAnsi="Times New Roman" w:eastAsia="宋体"/>
                <w:b/>
                <w:sz w:val="18"/>
              </w:rPr>
              <w:t>交付物</w:t>
            </w:r>
          </w:p>
        </w:tc>
        <w:tc>
          <w:tcPr>
            <w:tcW w:type="dxa" w:w="2494"/>
            <w:vAlign w:val="center"/>
            <w:tcMar>
              <w:top w:w="60" w:type="dxa"/>
              <w:start w:w="90" w:type="dxa"/>
              <w:bottom w:w="60" w:type="dxa"/>
              <w:end w:w="90" w:type="dxa"/>
            </w:tcMar>
          </w:tcPr>
          <w:p>
            <w:pPr>
              <w:spacing w:after="0" w:line="276" w:lineRule="auto"/>
            </w:pPr>
            <w:r>
              <w:rPr>
                <w:rFonts w:ascii="Times New Roman" w:hAnsi="Times New Roman" w:eastAsia="宋体"/>
                <w:b w:val="0"/>
                <w:sz w:val="18"/>
              </w:rPr>
              <w:t>附件一 SOW</w:t>
            </w:r>
          </w:p>
        </w:tc>
        <w:tc>
          <w:tcPr>
            <w:tcW w:type="dxa" w:w="4762"/>
            <w:vAlign w:val="center"/>
            <w:tcMar>
              <w:top w:w="60" w:type="dxa"/>
              <w:start w:w="90" w:type="dxa"/>
              <w:bottom w:w="60" w:type="dxa"/>
              <w:end w:w="90" w:type="dxa"/>
            </w:tcMar>
          </w:tcPr>
          <w:p>
            <w:pPr>
              <w:spacing w:after="0" w:line="276" w:lineRule="auto"/>
            </w:pPr>
            <w:r>
              <w:rPr>
                <w:rFonts w:ascii="Times New Roman" w:hAnsi="Times New Roman" w:eastAsia="宋体"/>
                <w:b w:val="0"/>
                <w:sz w:val="18"/>
              </w:rPr>
              <w:t>每项写名称、形式、数量、版本和交付时间</w:t>
            </w:r>
          </w:p>
        </w:tc>
      </w:tr>
      <w:tr>
        <w:trPr>
          <w:cantSplit/>
        </w:trPr>
        <w:tc>
          <w:tcPr>
            <w:tcW w:type="dxa" w:w="2041"/>
            <w:vAlign w:val="center"/>
            <w:tcMar>
              <w:top w:w="60" w:type="dxa"/>
              <w:start w:w="90" w:type="dxa"/>
              <w:bottom w:w="60" w:type="dxa"/>
              <w:end w:w="90" w:type="dxa"/>
            </w:tcMar>
          </w:tcPr>
          <w:p>
            <w:pPr>
              <w:spacing w:after="0" w:line="276" w:lineRule="auto"/>
            </w:pPr>
            <w:r>
              <w:rPr>
                <w:rFonts w:ascii="Times New Roman" w:hAnsi="Times New Roman" w:eastAsia="宋体"/>
                <w:b/>
                <w:sz w:val="18"/>
              </w:rPr>
              <w:t>验收标准</w:t>
            </w:r>
          </w:p>
        </w:tc>
        <w:tc>
          <w:tcPr>
            <w:tcW w:type="dxa" w:w="2494"/>
            <w:vAlign w:val="center"/>
            <w:tcMar>
              <w:top w:w="60" w:type="dxa"/>
              <w:start w:w="90" w:type="dxa"/>
              <w:bottom w:w="60" w:type="dxa"/>
              <w:end w:w="90" w:type="dxa"/>
            </w:tcMar>
          </w:tcPr>
          <w:p>
            <w:pPr>
              <w:spacing w:after="0" w:line="276" w:lineRule="auto"/>
            </w:pPr>
            <w:r>
              <w:rPr>
                <w:rFonts w:ascii="Times New Roman" w:hAnsi="Times New Roman" w:eastAsia="宋体"/>
                <w:b w:val="0"/>
                <w:sz w:val="18"/>
              </w:rPr>
              <w:t>附件一 SOW、附件二</w:t>
            </w:r>
          </w:p>
        </w:tc>
        <w:tc>
          <w:tcPr>
            <w:tcW w:type="dxa" w:w="4762"/>
            <w:vAlign w:val="center"/>
            <w:tcMar>
              <w:top w:w="60" w:type="dxa"/>
              <w:start w:w="90" w:type="dxa"/>
              <w:bottom w:w="60" w:type="dxa"/>
              <w:end w:w="90" w:type="dxa"/>
            </w:tcMar>
          </w:tcPr>
          <w:p>
            <w:pPr>
              <w:spacing w:after="0" w:line="276" w:lineRule="auto"/>
            </w:pPr>
            <w:r>
              <w:rPr>
                <w:rFonts w:ascii="Times New Roman" w:hAnsi="Times New Roman" w:eastAsia="宋体"/>
                <w:b w:val="0"/>
                <w:sz w:val="18"/>
              </w:rPr>
              <w:t>优先使用可核对的数量、内容清单、演示或测试结果</w:t>
            </w:r>
          </w:p>
        </w:tc>
      </w:tr>
      <w:tr>
        <w:trPr>
          <w:cantSplit/>
        </w:trPr>
        <w:tc>
          <w:tcPr>
            <w:tcW w:type="dxa" w:w="2041"/>
            <w:vAlign w:val="center"/>
            <w:tcMar>
              <w:top w:w="60" w:type="dxa"/>
              <w:start w:w="90" w:type="dxa"/>
              <w:bottom w:w="60" w:type="dxa"/>
              <w:end w:w="90" w:type="dxa"/>
            </w:tcMar>
          </w:tcPr>
          <w:p>
            <w:pPr>
              <w:spacing w:after="0" w:line="276" w:lineRule="auto"/>
            </w:pPr>
            <w:r>
              <w:rPr>
                <w:rFonts w:ascii="Times New Roman" w:hAnsi="Times New Roman" w:eastAsia="宋体"/>
                <w:b/>
                <w:sz w:val="18"/>
              </w:rPr>
              <w:t>含税总价、税率</w:t>
            </w:r>
          </w:p>
        </w:tc>
        <w:tc>
          <w:tcPr>
            <w:tcW w:type="dxa" w:w="2494"/>
            <w:vAlign w:val="center"/>
            <w:tcMar>
              <w:top w:w="60" w:type="dxa"/>
              <w:start w:w="90" w:type="dxa"/>
              <w:bottom w:w="60" w:type="dxa"/>
              <w:end w:w="90" w:type="dxa"/>
            </w:tcMar>
          </w:tcPr>
          <w:p>
            <w:pPr>
              <w:spacing w:after="0" w:line="276" w:lineRule="auto"/>
            </w:pPr>
            <w:r>
              <w:rPr>
                <w:rFonts w:ascii="Times New Roman" w:hAnsi="Times New Roman" w:eastAsia="宋体"/>
                <w:b w:val="0"/>
                <w:sz w:val="18"/>
              </w:rPr>
              <w:t>第 5.1 条、SOW</w:t>
            </w:r>
          </w:p>
        </w:tc>
        <w:tc>
          <w:tcPr>
            <w:tcW w:type="dxa" w:w="4762"/>
            <w:vAlign w:val="center"/>
            <w:tcMar>
              <w:top w:w="60" w:type="dxa"/>
              <w:start w:w="90" w:type="dxa"/>
              <w:bottom w:w="60" w:type="dxa"/>
              <w:end w:w="90" w:type="dxa"/>
            </w:tcMar>
          </w:tcPr>
          <w:p>
            <w:pPr>
              <w:spacing w:after="0" w:line="276" w:lineRule="auto"/>
            </w:pPr>
            <w:r>
              <w:rPr>
                <w:rFonts w:ascii="Times New Roman" w:hAnsi="Times New Roman" w:eastAsia="宋体"/>
                <w:b w:val="0"/>
                <w:sz w:val="18"/>
              </w:rPr>
              <w:t>金额大小写一致；税率由财务确认；非人民币转人工判断</w:t>
            </w:r>
          </w:p>
        </w:tc>
      </w:tr>
      <w:tr>
        <w:trPr>
          <w:cantSplit/>
        </w:trPr>
        <w:tc>
          <w:tcPr>
            <w:tcW w:type="dxa" w:w="2041"/>
            <w:vAlign w:val="center"/>
            <w:tcMar>
              <w:top w:w="60" w:type="dxa"/>
              <w:start w:w="90" w:type="dxa"/>
              <w:bottom w:w="60" w:type="dxa"/>
              <w:end w:w="90" w:type="dxa"/>
            </w:tcMar>
          </w:tcPr>
          <w:p>
            <w:pPr>
              <w:spacing w:after="0" w:line="276" w:lineRule="auto"/>
            </w:pPr>
            <w:r>
              <w:rPr>
                <w:rFonts w:ascii="Times New Roman" w:hAnsi="Times New Roman" w:eastAsia="宋体"/>
                <w:b/>
                <w:sz w:val="18"/>
              </w:rPr>
              <w:t>付款节点</w:t>
            </w:r>
          </w:p>
        </w:tc>
        <w:tc>
          <w:tcPr>
            <w:tcW w:type="dxa" w:w="2494"/>
            <w:vAlign w:val="center"/>
            <w:tcMar>
              <w:top w:w="60" w:type="dxa"/>
              <w:start w:w="90" w:type="dxa"/>
              <w:bottom w:w="60" w:type="dxa"/>
              <w:end w:w="90" w:type="dxa"/>
            </w:tcMar>
          </w:tcPr>
          <w:p>
            <w:pPr>
              <w:spacing w:after="0" w:line="276" w:lineRule="auto"/>
            </w:pPr>
            <w:r>
              <w:rPr>
                <w:rFonts w:ascii="Times New Roman" w:hAnsi="Times New Roman" w:eastAsia="宋体"/>
                <w:b w:val="0"/>
                <w:sz w:val="18"/>
              </w:rPr>
              <w:t>第 5.2 条、SOW</w:t>
            </w:r>
          </w:p>
        </w:tc>
        <w:tc>
          <w:tcPr>
            <w:tcW w:type="dxa" w:w="4762"/>
            <w:vAlign w:val="center"/>
            <w:tcMar>
              <w:top w:w="60" w:type="dxa"/>
              <w:start w:w="90" w:type="dxa"/>
              <w:bottom w:w="60" w:type="dxa"/>
              <w:end w:w="90" w:type="dxa"/>
            </w:tcMar>
          </w:tcPr>
          <w:p>
            <w:pPr>
              <w:spacing w:after="0" w:line="276" w:lineRule="auto"/>
            </w:pPr>
            <w:r>
              <w:rPr>
                <w:rFonts w:ascii="Times New Roman" w:hAnsi="Times New Roman" w:eastAsia="宋体"/>
                <w:b w:val="0"/>
                <w:sz w:val="18"/>
              </w:rPr>
              <w:t>每笔款项对应可核验材料；开票不等于验收</w:t>
            </w:r>
          </w:p>
        </w:tc>
      </w:tr>
      <w:tr>
        <w:trPr>
          <w:cantSplit/>
        </w:trPr>
        <w:tc>
          <w:tcPr>
            <w:tcW w:type="dxa" w:w="2041"/>
            <w:vAlign w:val="center"/>
            <w:tcMar>
              <w:top w:w="60" w:type="dxa"/>
              <w:start w:w="90" w:type="dxa"/>
              <w:bottom w:w="60" w:type="dxa"/>
              <w:end w:w="90" w:type="dxa"/>
            </w:tcMar>
          </w:tcPr>
          <w:p>
            <w:pPr>
              <w:spacing w:after="0" w:line="276" w:lineRule="auto"/>
            </w:pPr>
            <w:r>
              <w:rPr>
                <w:rFonts w:ascii="Times New Roman" w:hAnsi="Times New Roman" w:eastAsia="宋体"/>
                <w:b/>
                <w:sz w:val="18"/>
              </w:rPr>
              <w:t>预付款</w:t>
            </w:r>
          </w:p>
        </w:tc>
        <w:tc>
          <w:tcPr>
            <w:tcW w:type="dxa" w:w="2494"/>
            <w:vAlign w:val="center"/>
            <w:tcMar>
              <w:top w:w="60" w:type="dxa"/>
              <w:start w:w="90" w:type="dxa"/>
              <w:bottom w:w="60" w:type="dxa"/>
              <w:end w:w="90" w:type="dxa"/>
            </w:tcMar>
          </w:tcPr>
          <w:p>
            <w:pPr>
              <w:spacing w:after="0" w:line="276" w:lineRule="auto"/>
            </w:pPr>
            <w:r>
              <w:rPr>
                <w:rFonts w:ascii="Times New Roman" w:hAnsi="Times New Roman" w:eastAsia="宋体"/>
                <w:b w:val="0"/>
                <w:sz w:val="18"/>
              </w:rPr>
              <w:t>第 5.2 条、台账</w:t>
            </w:r>
          </w:p>
        </w:tc>
        <w:tc>
          <w:tcPr>
            <w:tcW w:type="dxa" w:w="4762"/>
            <w:vAlign w:val="center"/>
            <w:tcMar>
              <w:top w:w="60" w:type="dxa"/>
              <w:start w:w="90" w:type="dxa"/>
              <w:bottom w:w="60" w:type="dxa"/>
              <w:end w:w="90" w:type="dxa"/>
            </w:tcMar>
          </w:tcPr>
          <w:p>
            <w:pPr>
              <w:spacing w:after="0" w:line="276" w:lineRule="auto"/>
            </w:pPr>
            <w:r>
              <w:rPr>
                <w:rFonts w:ascii="Times New Roman" w:hAnsi="Times New Roman" w:eastAsia="宋体"/>
                <w:b w:val="0"/>
                <w:sz w:val="18"/>
              </w:rPr>
              <w:t>超过 30% 至少 R2；超过 50% 进入 R3；不得用“启动费”规避</w:t>
            </w:r>
          </w:p>
        </w:tc>
      </w:tr>
      <w:tr>
        <w:trPr>
          <w:cantSplit/>
        </w:trPr>
        <w:tc>
          <w:tcPr>
            <w:tcW w:type="dxa" w:w="2041"/>
            <w:vAlign w:val="center"/>
            <w:tcMar>
              <w:top w:w="60" w:type="dxa"/>
              <w:start w:w="90" w:type="dxa"/>
              <w:bottom w:w="60" w:type="dxa"/>
              <w:end w:w="90" w:type="dxa"/>
            </w:tcMar>
          </w:tcPr>
          <w:p>
            <w:pPr>
              <w:spacing w:after="0" w:line="276" w:lineRule="auto"/>
            </w:pPr>
            <w:r>
              <w:rPr>
                <w:rFonts w:ascii="Times New Roman" w:hAnsi="Times New Roman" w:eastAsia="宋体"/>
                <w:b/>
                <w:sz w:val="18"/>
              </w:rPr>
              <w:t>知识产权</w:t>
            </w:r>
          </w:p>
        </w:tc>
        <w:tc>
          <w:tcPr>
            <w:tcW w:type="dxa" w:w="2494"/>
            <w:vAlign w:val="center"/>
            <w:tcMar>
              <w:top w:w="60" w:type="dxa"/>
              <w:start w:w="90" w:type="dxa"/>
              <w:bottom w:w="60" w:type="dxa"/>
              <w:end w:w="90" w:type="dxa"/>
            </w:tcMar>
          </w:tcPr>
          <w:p>
            <w:pPr>
              <w:spacing w:after="0" w:line="276" w:lineRule="auto"/>
            </w:pPr>
            <w:r>
              <w:rPr>
                <w:rFonts w:ascii="Times New Roman" w:hAnsi="Times New Roman" w:eastAsia="宋体"/>
                <w:b w:val="0"/>
                <w:sz w:val="18"/>
              </w:rPr>
              <w:t>第 8 条、SOW</w:t>
            </w:r>
          </w:p>
        </w:tc>
        <w:tc>
          <w:tcPr>
            <w:tcW w:type="dxa" w:w="4762"/>
            <w:vAlign w:val="center"/>
            <w:tcMar>
              <w:top w:w="60" w:type="dxa"/>
              <w:start w:w="90" w:type="dxa"/>
              <w:bottom w:w="60" w:type="dxa"/>
              <w:end w:w="90" w:type="dxa"/>
            </w:tcMar>
          </w:tcPr>
          <w:p>
            <w:pPr>
              <w:spacing w:after="0" w:line="276" w:lineRule="auto"/>
            </w:pPr>
            <w:r>
              <w:rPr>
                <w:rFonts w:ascii="Times New Roman" w:hAnsi="Times New Roman" w:eastAsia="宋体"/>
                <w:b w:val="0"/>
                <w:sz w:val="18"/>
              </w:rPr>
              <w:t>区分背景、定制成果、第三方材料；不写“全部知识产权归甲方”</w:t>
            </w:r>
          </w:p>
        </w:tc>
      </w:tr>
      <w:tr>
        <w:trPr>
          <w:cantSplit/>
        </w:trPr>
        <w:tc>
          <w:tcPr>
            <w:tcW w:type="dxa" w:w="2041"/>
            <w:vAlign w:val="center"/>
            <w:tcMar>
              <w:top w:w="60" w:type="dxa"/>
              <w:start w:w="90" w:type="dxa"/>
              <w:bottom w:w="60" w:type="dxa"/>
              <w:end w:w="90" w:type="dxa"/>
            </w:tcMar>
          </w:tcPr>
          <w:p>
            <w:pPr>
              <w:spacing w:after="0" w:line="276" w:lineRule="auto"/>
            </w:pPr>
            <w:r>
              <w:rPr>
                <w:rFonts w:ascii="Times New Roman" w:hAnsi="Times New Roman" w:eastAsia="宋体"/>
                <w:b/>
                <w:sz w:val="18"/>
              </w:rPr>
              <w:t>责任上限、违约金</w:t>
            </w:r>
          </w:p>
        </w:tc>
        <w:tc>
          <w:tcPr>
            <w:tcW w:type="dxa" w:w="2494"/>
            <w:vAlign w:val="center"/>
            <w:tcMar>
              <w:top w:w="60" w:type="dxa"/>
              <w:start w:w="90" w:type="dxa"/>
              <w:bottom w:w="60" w:type="dxa"/>
              <w:end w:w="90" w:type="dxa"/>
            </w:tcMar>
          </w:tcPr>
          <w:p>
            <w:pPr>
              <w:spacing w:after="0" w:line="276" w:lineRule="auto"/>
            </w:pPr>
            <w:r>
              <w:rPr>
                <w:rFonts w:ascii="Times New Roman" w:hAnsi="Times New Roman" w:eastAsia="宋体"/>
                <w:b w:val="0"/>
                <w:sz w:val="18"/>
              </w:rPr>
              <w:t>第 11 条</w:t>
            </w:r>
          </w:p>
        </w:tc>
        <w:tc>
          <w:tcPr>
            <w:tcW w:type="dxa" w:w="4762"/>
            <w:vAlign w:val="center"/>
            <w:tcMar>
              <w:top w:w="60" w:type="dxa"/>
              <w:start w:w="90" w:type="dxa"/>
              <w:bottom w:w="60" w:type="dxa"/>
              <w:end w:w="90" w:type="dxa"/>
            </w:tcMar>
          </w:tcPr>
          <w:p>
            <w:pPr>
              <w:spacing w:after="0" w:line="276" w:lineRule="auto"/>
            </w:pPr>
            <w:r>
              <w:rPr>
                <w:rFonts w:ascii="Times New Roman" w:hAnsi="Times New Roman" w:eastAsia="宋体"/>
                <w:b w:val="0"/>
                <w:sz w:val="18"/>
              </w:rPr>
              <w:t>与合同金额、保险和潜在损失匹配；不排除法定不得免责事项</w:t>
            </w:r>
          </w:p>
        </w:tc>
      </w:tr>
      <w:tr>
        <w:trPr>
          <w:cantSplit/>
        </w:trPr>
        <w:tc>
          <w:tcPr>
            <w:tcW w:type="dxa" w:w="2041"/>
            <w:vAlign w:val="center"/>
            <w:tcMar>
              <w:top w:w="60" w:type="dxa"/>
              <w:start w:w="90" w:type="dxa"/>
              <w:bottom w:w="60" w:type="dxa"/>
              <w:end w:w="90" w:type="dxa"/>
            </w:tcMar>
          </w:tcPr>
          <w:p>
            <w:pPr>
              <w:spacing w:after="0" w:line="276" w:lineRule="auto"/>
            </w:pPr>
            <w:r>
              <w:rPr>
                <w:rFonts w:ascii="Times New Roman" w:hAnsi="Times New Roman" w:eastAsia="宋体"/>
                <w:b/>
                <w:sz w:val="18"/>
              </w:rPr>
              <w:t>争议解决</w:t>
            </w:r>
          </w:p>
        </w:tc>
        <w:tc>
          <w:tcPr>
            <w:tcW w:type="dxa" w:w="2494"/>
            <w:vAlign w:val="center"/>
            <w:tcMar>
              <w:top w:w="60" w:type="dxa"/>
              <w:start w:w="90" w:type="dxa"/>
              <w:bottom w:w="60" w:type="dxa"/>
              <w:end w:w="90" w:type="dxa"/>
            </w:tcMar>
          </w:tcPr>
          <w:p>
            <w:pPr>
              <w:spacing w:after="0" w:line="276" w:lineRule="auto"/>
            </w:pPr>
            <w:r>
              <w:rPr>
                <w:rFonts w:ascii="Times New Roman" w:hAnsi="Times New Roman" w:eastAsia="宋体"/>
                <w:b w:val="0"/>
                <w:sz w:val="18"/>
              </w:rPr>
              <w:t>第 15 条</w:t>
            </w:r>
          </w:p>
        </w:tc>
        <w:tc>
          <w:tcPr>
            <w:tcW w:type="dxa" w:w="4762"/>
            <w:vAlign w:val="center"/>
            <w:tcMar>
              <w:top w:w="60" w:type="dxa"/>
              <w:start w:w="90" w:type="dxa"/>
              <w:bottom w:w="60" w:type="dxa"/>
              <w:end w:w="90" w:type="dxa"/>
            </w:tcMar>
          </w:tcPr>
          <w:p>
            <w:pPr>
              <w:spacing w:after="0" w:line="276" w:lineRule="auto"/>
            </w:pPr>
            <w:r>
              <w:rPr>
                <w:rFonts w:ascii="Times New Roman" w:hAnsi="Times New Roman" w:eastAsia="宋体"/>
                <w:b w:val="0"/>
                <w:sz w:val="18"/>
              </w:rPr>
              <w:t>境内法院；核对实际联系、级别管辖和专属管辖</w:t>
            </w:r>
          </w:p>
        </w:tc>
      </w:tr>
    </w:tbl>
    <w:p>
      <w:pPr>
        <w:spacing w:after="60" w:line="300" w:lineRule="auto"/>
      </w:pPr>
    </w:p>
    <w:p>
      <w:pPr>
        <w:pStyle w:val="Heading2"/>
      </w:pPr>
      <w:r>
        <w:t>五、异常条款提示</w:t>
      </w:r>
    </w:p>
    <w:p>
      <w:pPr>
        <w:keepNext w:val="0"/>
        <w:spacing w:before="0" w:after="60" w:line="300" w:lineRule="auto"/>
      </w:pPr>
      <w:r>
        <w:rPr>
          <w:rFonts w:ascii="Times New Roman" w:hAnsi="Times New Roman" w:eastAsia="宋体"/>
          <w:b w:val="0"/>
          <w:sz w:val="19"/>
        </w:rPr>
        <w:t>第 4 条（验收）、第 5 条（付款）、第 8 条（知识产权）、第 11 条（责任限制）、第 12 条（解除与退出）、第 15 条（争议解决）属于对双方权利义务有重大影响的条款。</w:t>
      </w:r>
    </w:p>
    <w:p>
      <w:pPr>
        <w:pStyle w:val="ListBullet"/>
        <w:spacing w:after="40" w:line="312" w:lineRule="auto"/>
      </w:pPr>
      <w:r>
        <w:rPr>
          <w:rFonts w:ascii="Times New Roman" w:hAnsi="Times New Roman" w:eastAsia="宋体"/>
          <w:sz w:val="19"/>
        </w:rPr>
        <w:t>对方要求“未提出异议即视为验收”、验收期少于 3 个工作日、排除重大缺陷，或以付款、开票、上线、使用部分成果视为验收；</w:t>
      </w:r>
    </w:p>
    <w:p>
      <w:pPr>
        <w:pStyle w:val="ListBullet"/>
        <w:spacing w:after="40" w:line="312" w:lineRule="auto"/>
      </w:pPr>
      <w:r>
        <w:rPr>
          <w:rFonts w:ascii="Times New Roman" w:hAnsi="Times New Roman" w:eastAsia="宋体"/>
          <w:sz w:val="19"/>
        </w:rPr>
        <w:t>预付款超过 30%，或付款远早于任何可核验履约材料；要求 100% 预付款；</w:t>
      </w:r>
    </w:p>
    <w:p>
      <w:pPr>
        <w:pStyle w:val="ListBullet"/>
        <w:spacing w:after="40" w:line="312" w:lineRule="auto"/>
      </w:pPr>
      <w:r>
        <w:rPr>
          <w:rFonts w:ascii="Times New Roman" w:hAnsi="Times New Roman" w:eastAsia="宋体"/>
          <w:sz w:val="19"/>
        </w:rPr>
        <w:t>要求“全部知识产权归甲方”，包括乙方背景技术、通用工具和第三方材料；</w:t>
      </w:r>
    </w:p>
    <w:p>
      <w:pPr>
        <w:pStyle w:val="ListBullet"/>
        <w:spacing w:after="40" w:line="312" w:lineRule="auto"/>
      </w:pPr>
      <w:r>
        <w:rPr>
          <w:rFonts w:ascii="Times New Roman" w:hAnsi="Times New Roman" w:eastAsia="宋体"/>
          <w:sz w:val="19"/>
        </w:rPr>
        <w:t>责任上限低于合同金额的 30%，或排除知识产权、保密、故意/重大过失责任；</w:t>
      </w:r>
    </w:p>
    <w:p>
      <w:pPr>
        <w:pStyle w:val="ListBullet"/>
        <w:spacing w:after="40" w:line="312" w:lineRule="auto"/>
      </w:pPr>
      <w:r>
        <w:rPr>
          <w:rFonts w:ascii="Times New Roman" w:hAnsi="Times New Roman" w:eastAsia="宋体"/>
          <w:sz w:val="19"/>
        </w:rPr>
        <w:t>约定由一方单方决定验收标准、损失金额或停工权；</w:t>
      </w:r>
    </w:p>
    <w:p>
      <w:pPr>
        <w:pStyle w:val="ListBullet"/>
        <w:spacing w:after="40" w:line="312" w:lineRule="auto"/>
      </w:pPr>
      <w:r>
        <w:rPr>
          <w:rFonts w:ascii="Times New Roman" w:hAnsi="Times New Roman" w:eastAsia="宋体"/>
          <w:sz w:val="19"/>
        </w:rPr>
        <w:t>约定境外法院、境外仲裁，或与争议没有实际联系的管辖地点；</w:t>
      </w:r>
    </w:p>
    <w:p>
      <w:pPr>
        <w:pStyle w:val="ListBullet"/>
        <w:spacing w:after="40" w:line="312" w:lineRule="auto"/>
      </w:pPr>
      <w:r>
        <w:rPr>
          <w:rFonts w:ascii="Times New Roman" w:hAnsi="Times New Roman" w:eastAsia="宋体"/>
          <w:sz w:val="19"/>
        </w:rPr>
        <w:t>以“行业惯例”“后续优化”“合理必要”等开放式描述扩大范围。</w:t>
      </w:r>
    </w:p>
    <w:p>
      <w:pPr>
        <w:keepNext w:val="0"/>
        <w:spacing w:before="0" w:after="60" w:line="300" w:lineRule="auto"/>
      </w:pPr>
      <w:r>
        <w:rPr>
          <w:rFonts w:ascii="Times New Roman" w:hAnsi="Times New Roman" w:eastAsia="宋体"/>
          <w:b w:val="0"/>
          <w:sz w:val="19"/>
        </w:rPr>
        <w:t>说明记录位置：审批记录的“批准条件”和偏离明细的“影响/补偿措施”。异常条款的提示方式、说明对象和对方确认情况也应记录。</w:t>
      </w:r>
    </w:p>
    <w:p>
      <w:pPr>
        <w:pStyle w:val="Heading2"/>
      </w:pPr>
      <w:r>
        <w:t>六、签署与份数</w:t>
      </w:r>
    </w:p>
    <w:p>
      <w:pPr>
        <w:keepNext w:val="0"/>
        <w:spacing w:before="0" w:after="60" w:line="300" w:lineRule="auto"/>
      </w:pPr>
      <w:r>
        <w:rPr>
          <w:rFonts w:ascii="Times New Roman" w:hAnsi="Times New Roman" w:eastAsia="宋体"/>
          <w:b w:val="0"/>
          <w:sz w:val="19"/>
        </w:rPr>
        <w:t>本合同一式两份，双方各执一份，具有同等效力。默认采用纸质签署；如改用可靠电子签名，应保存可验证的原始文件、签署人身份与授权、签署日志、文件完整性和签署过程证据。时间戳、哈希、存证编号属于证据管理措施，不是所有合同一律适用的法定成立条件。</w:t>
      </w:r>
    </w:p>
    <w:p>
      <w:pPr>
        <w:keepNext w:val="0"/>
        <w:spacing w:before="0" w:after="60" w:line="300" w:lineRule="auto"/>
      </w:pPr>
      <w:r>
        <w:rPr>
          <w:rFonts w:ascii="Times New Roman" w:hAnsi="Times New Roman" w:eastAsia="宋体"/>
          <w:b w:val="0"/>
          <w:sz w:val="19"/>
        </w:rPr>
        <w:t>双方可以约定合同生效条件，但约定不得违反法律、行政法规的强制性规定。签署授权与业务批准、法务审查分别核验。</w:t>
      </w:r>
    </w:p>
    <w:p>
      <w:pPr>
        <w:spacing w:after="60" w:line="300" w:lineRule="auto"/>
      </w:pPr>
      <w:r>
        <w:br w:type="page"/>
      </w:r>
    </w:p>
    <w:p>
      <w:pPr>
        <w:pStyle w:val="Heading1"/>
      </w:pPr>
      <w:r>
        <w:t>重要条款提示（随签署文本保留）</w:t>
      </w:r>
    </w:p>
    <w:p>
      <w:pPr>
        <w:keepNext w:val="0"/>
        <w:spacing w:before="0" w:after="60" w:line="300" w:lineRule="auto"/>
      </w:pPr>
      <w:r>
        <w:rPr>
          <w:rFonts w:ascii="Times New Roman" w:hAnsi="Times New Roman" w:eastAsia="宋体"/>
          <w:b w:val="0"/>
          <w:color w:val="404040"/>
          <w:sz w:val="19"/>
        </w:rPr>
        <w:t>请双方在签署前阅读以下条款。以下提示不改变正文含义；如提示与正文不一致，以正文为准。</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3137"/>
        <w:gridCol w:w="3137"/>
        <w:gridCol w:w="3137"/>
      </w:tblGrid>
      <w:tr>
        <w:trPr>
          <w:tblHeader w:val="true"/>
        </w:trPr>
        <w:tc>
          <w:tcPr>
            <w:tcW w:type="dxa" w:w="2381"/>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条款</w:t>
            </w:r>
          </w:p>
        </w:tc>
        <w:tc>
          <w:tcPr>
            <w:tcW w:type="dxa" w:w="4195"/>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为什么重要</w:t>
            </w:r>
          </w:p>
        </w:tc>
        <w:tc>
          <w:tcPr>
            <w:tcW w:type="dxa" w:w="2778"/>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签署前确认</w:t>
            </w:r>
          </w:p>
        </w:tc>
      </w:tr>
      <w:tr>
        <w:trPr>
          <w:cantSplit/>
        </w:trPr>
        <w:tc>
          <w:tcPr>
            <w:tcW w:type="dxa" w:w="2381"/>
            <w:vAlign w:val="center"/>
            <w:tcMar>
              <w:top w:w="60" w:type="dxa"/>
              <w:start w:w="90" w:type="dxa"/>
              <w:bottom w:w="60" w:type="dxa"/>
              <w:end w:w="90" w:type="dxa"/>
            </w:tcMar>
          </w:tcPr>
          <w:p>
            <w:pPr>
              <w:spacing w:after="0" w:line="276" w:lineRule="auto"/>
            </w:pPr>
            <w:r>
              <w:rPr>
                <w:rFonts w:ascii="Times New Roman" w:hAnsi="Times New Roman" w:eastAsia="宋体"/>
                <w:b/>
                <w:sz w:val="18"/>
              </w:rPr>
              <w:t>第 2、3 条 服务范围与交付</w:t>
            </w:r>
          </w:p>
        </w:tc>
        <w:tc>
          <w:tcPr>
            <w:tcW w:type="dxa" w:w="4195"/>
            <w:vAlign w:val="center"/>
            <w:tcMar>
              <w:top w:w="60" w:type="dxa"/>
              <w:start w:w="90" w:type="dxa"/>
              <w:bottom w:w="60" w:type="dxa"/>
              <w:end w:w="90" w:type="dxa"/>
            </w:tcMar>
          </w:tcPr>
          <w:p>
            <w:pPr>
              <w:spacing w:after="0" w:line="276" w:lineRule="auto"/>
            </w:pPr>
            <w:r>
              <w:rPr>
                <w:rFonts w:ascii="Times New Roman" w:hAnsi="Times New Roman" w:eastAsia="宋体"/>
                <w:b w:val="0"/>
                <w:sz w:val="18"/>
              </w:rPr>
              <w:t>范围、排除项、交付物和人员决定乙方做什么、不做什么</w:t>
            </w:r>
          </w:p>
        </w:tc>
        <w:tc>
          <w:tcPr>
            <w:tcW w:type="dxa" w:w="2778"/>
            <w:vAlign w:val="center"/>
            <w:tcMar>
              <w:top w:w="60" w:type="dxa"/>
              <w:start w:w="90" w:type="dxa"/>
              <w:bottom w:w="60" w:type="dxa"/>
              <w:end w:w="90" w:type="dxa"/>
            </w:tcMar>
          </w:tcPr>
          <w:p>
            <w:pPr>
              <w:spacing w:after="0" w:line="276" w:lineRule="auto"/>
            </w:pPr>
            <w:r>
              <w:rPr>
                <w:rFonts w:ascii="Times New Roman" w:hAnsi="Times New Roman" w:eastAsia="宋体"/>
                <w:b w:val="0"/>
                <w:sz w:val="18"/>
              </w:rPr>
              <w:t>SOW 已列明范围、排除项、交付物、人员、前提条件和时间计划</w:t>
            </w:r>
          </w:p>
        </w:tc>
      </w:tr>
      <w:tr>
        <w:trPr>
          <w:cantSplit/>
        </w:trPr>
        <w:tc>
          <w:tcPr>
            <w:tcW w:type="dxa" w:w="2381"/>
            <w:vAlign w:val="center"/>
            <w:tcMar>
              <w:top w:w="60" w:type="dxa"/>
              <w:start w:w="90" w:type="dxa"/>
              <w:bottom w:w="60" w:type="dxa"/>
              <w:end w:w="90" w:type="dxa"/>
            </w:tcMar>
            <w:shd w:fill="FCE4D6"/>
          </w:tcPr>
          <w:p>
            <w:pPr>
              <w:spacing w:after="0" w:line="276" w:lineRule="auto"/>
            </w:pPr>
            <w:r>
              <w:rPr>
                <w:rFonts w:ascii="Times New Roman" w:hAnsi="Times New Roman" w:eastAsia="宋体"/>
                <w:b/>
                <w:sz w:val="18"/>
              </w:rPr>
              <w:t>第 4 条 验收</w:t>
            </w:r>
          </w:p>
        </w:tc>
        <w:tc>
          <w:tcPr>
            <w:tcW w:type="dxa" w:w="4195"/>
            <w:vAlign w:val="center"/>
            <w:tcMar>
              <w:top w:w="60" w:type="dxa"/>
              <w:start w:w="90" w:type="dxa"/>
              <w:bottom w:w="60" w:type="dxa"/>
              <w:end w:w="90" w:type="dxa"/>
            </w:tcMar>
            <w:shd w:fill="FCE4D6"/>
          </w:tcPr>
          <w:p>
            <w:pPr>
              <w:spacing w:after="0" w:line="276" w:lineRule="auto"/>
            </w:pPr>
            <w:r>
              <w:rPr>
                <w:rFonts w:ascii="Times New Roman" w:hAnsi="Times New Roman" w:eastAsia="宋体"/>
                <w:b w:val="0"/>
                <w:sz w:val="18"/>
              </w:rPr>
              <w:t>书面验收、整改、复验和有条件合格的适用条件</w:t>
            </w:r>
          </w:p>
        </w:tc>
        <w:tc>
          <w:tcPr>
            <w:tcW w:type="dxa" w:w="2778"/>
            <w:vAlign w:val="center"/>
            <w:tcMar>
              <w:top w:w="60" w:type="dxa"/>
              <w:start w:w="90" w:type="dxa"/>
              <w:bottom w:w="60" w:type="dxa"/>
              <w:end w:w="90" w:type="dxa"/>
            </w:tcMar>
            <w:shd w:fill="FCE4D6"/>
          </w:tcPr>
          <w:p>
            <w:pPr>
              <w:spacing w:after="0" w:line="276" w:lineRule="auto"/>
            </w:pPr>
            <w:r>
              <w:rPr>
                <w:rFonts w:ascii="Times New Roman" w:hAnsi="Times New Roman" w:eastAsia="宋体"/>
                <w:b w:val="0"/>
                <w:sz w:val="18"/>
              </w:rPr>
              <w:t>验收标准可核对；不采用默示验收；有条件合格有遗留缺陷和付款安排</w:t>
            </w:r>
          </w:p>
        </w:tc>
      </w:tr>
      <w:tr>
        <w:trPr>
          <w:cantSplit/>
        </w:trPr>
        <w:tc>
          <w:tcPr>
            <w:tcW w:type="dxa" w:w="2381"/>
            <w:vAlign w:val="center"/>
            <w:tcMar>
              <w:top w:w="60" w:type="dxa"/>
              <w:start w:w="90" w:type="dxa"/>
              <w:bottom w:w="60" w:type="dxa"/>
              <w:end w:w="90" w:type="dxa"/>
            </w:tcMar>
            <w:shd w:fill="FCE4D6"/>
          </w:tcPr>
          <w:p>
            <w:pPr>
              <w:spacing w:after="0" w:line="276" w:lineRule="auto"/>
            </w:pPr>
            <w:r>
              <w:rPr>
                <w:rFonts w:ascii="Times New Roman" w:hAnsi="Times New Roman" w:eastAsia="宋体"/>
                <w:b/>
                <w:sz w:val="18"/>
              </w:rPr>
              <w:t>第 5 条 付款</w:t>
            </w:r>
          </w:p>
        </w:tc>
        <w:tc>
          <w:tcPr>
            <w:tcW w:type="dxa" w:w="4195"/>
            <w:vAlign w:val="center"/>
            <w:tcMar>
              <w:top w:w="60" w:type="dxa"/>
              <w:start w:w="90" w:type="dxa"/>
              <w:bottom w:w="60" w:type="dxa"/>
              <w:end w:w="90" w:type="dxa"/>
            </w:tcMar>
            <w:shd w:fill="FCE4D6"/>
          </w:tcPr>
          <w:p>
            <w:pPr>
              <w:spacing w:after="0" w:line="276" w:lineRule="auto"/>
            </w:pPr>
            <w:r>
              <w:rPr>
                <w:rFonts w:ascii="Times New Roman" w:hAnsi="Times New Roman" w:eastAsia="宋体"/>
                <w:b w:val="0"/>
                <w:sz w:val="18"/>
              </w:rPr>
              <w:t>付款节点、发票、验收和法定付款期限</w:t>
            </w:r>
          </w:p>
        </w:tc>
        <w:tc>
          <w:tcPr>
            <w:tcW w:type="dxa" w:w="2778"/>
            <w:vAlign w:val="center"/>
            <w:tcMar>
              <w:top w:w="60" w:type="dxa"/>
              <w:start w:w="90" w:type="dxa"/>
              <w:bottom w:w="60" w:type="dxa"/>
              <w:end w:w="90" w:type="dxa"/>
            </w:tcMar>
            <w:shd w:fill="FCE4D6"/>
          </w:tcPr>
          <w:p>
            <w:pPr>
              <w:spacing w:after="0" w:line="276" w:lineRule="auto"/>
            </w:pPr>
            <w:r>
              <w:rPr>
                <w:rFonts w:ascii="Times New Roman" w:hAnsi="Times New Roman" w:eastAsia="宋体"/>
                <w:b w:val="0"/>
                <w:sz w:val="18"/>
              </w:rPr>
              <w:t>每笔款项有可核验材料；未以内部流程或拖延验收无限推迟</w:t>
            </w:r>
          </w:p>
        </w:tc>
      </w:tr>
      <w:tr>
        <w:trPr>
          <w:cantSplit/>
        </w:trPr>
        <w:tc>
          <w:tcPr>
            <w:tcW w:type="dxa" w:w="2381"/>
            <w:vAlign w:val="center"/>
            <w:tcMar>
              <w:top w:w="60" w:type="dxa"/>
              <w:start w:w="90" w:type="dxa"/>
              <w:bottom w:w="60" w:type="dxa"/>
              <w:end w:w="90" w:type="dxa"/>
            </w:tcMar>
          </w:tcPr>
          <w:p>
            <w:pPr>
              <w:spacing w:after="0" w:line="276" w:lineRule="auto"/>
            </w:pPr>
            <w:r>
              <w:rPr>
                <w:rFonts w:ascii="Times New Roman" w:hAnsi="Times New Roman" w:eastAsia="宋体"/>
                <w:b/>
                <w:sz w:val="18"/>
              </w:rPr>
              <w:t>第 6 条 变更</w:t>
            </w:r>
          </w:p>
        </w:tc>
        <w:tc>
          <w:tcPr>
            <w:tcW w:type="dxa" w:w="4195"/>
            <w:vAlign w:val="center"/>
            <w:tcMar>
              <w:top w:w="60" w:type="dxa"/>
              <w:start w:w="90" w:type="dxa"/>
              <w:bottom w:w="60" w:type="dxa"/>
              <w:end w:w="90" w:type="dxa"/>
            </w:tcMar>
          </w:tcPr>
          <w:p>
            <w:pPr>
              <w:spacing w:after="0" w:line="276" w:lineRule="auto"/>
            </w:pPr>
            <w:r>
              <w:rPr>
                <w:rFonts w:ascii="Times New Roman" w:hAnsi="Times New Roman" w:eastAsia="宋体"/>
                <w:b w:val="0"/>
                <w:sz w:val="18"/>
              </w:rPr>
              <w:t>书面变更与内部重新审批的关系</w:t>
            </w:r>
          </w:p>
        </w:tc>
        <w:tc>
          <w:tcPr>
            <w:tcW w:type="dxa" w:w="2778"/>
            <w:vAlign w:val="center"/>
            <w:tcMar>
              <w:top w:w="60" w:type="dxa"/>
              <w:start w:w="90" w:type="dxa"/>
              <w:bottom w:w="60" w:type="dxa"/>
              <w:end w:w="90" w:type="dxa"/>
            </w:tcMar>
          </w:tcPr>
          <w:p>
            <w:pPr>
              <w:spacing w:after="0" w:line="276" w:lineRule="auto"/>
            </w:pPr>
            <w:r>
              <w:rPr>
                <w:rFonts w:ascii="Times New Roman" w:hAnsi="Times New Roman" w:eastAsia="宋体"/>
                <w:b w:val="0"/>
                <w:sz w:val="18"/>
              </w:rPr>
              <w:t>变更单编号、价款、工期、验收和授权代表已明确</w:t>
            </w:r>
          </w:p>
        </w:tc>
      </w:tr>
      <w:tr>
        <w:trPr>
          <w:cantSplit/>
        </w:trPr>
        <w:tc>
          <w:tcPr>
            <w:tcW w:type="dxa" w:w="2381"/>
            <w:vAlign w:val="center"/>
            <w:tcMar>
              <w:top w:w="60" w:type="dxa"/>
              <w:start w:w="90" w:type="dxa"/>
              <w:bottom w:w="60" w:type="dxa"/>
              <w:end w:w="90" w:type="dxa"/>
            </w:tcMar>
            <w:shd w:fill="FCE4D6"/>
          </w:tcPr>
          <w:p>
            <w:pPr>
              <w:spacing w:after="0" w:line="276" w:lineRule="auto"/>
            </w:pPr>
            <w:r>
              <w:rPr>
                <w:rFonts w:ascii="Times New Roman" w:hAnsi="Times New Roman" w:eastAsia="宋体"/>
                <w:b/>
                <w:sz w:val="18"/>
              </w:rPr>
              <w:t>第 8 条 知识产权</w:t>
            </w:r>
          </w:p>
        </w:tc>
        <w:tc>
          <w:tcPr>
            <w:tcW w:type="dxa" w:w="4195"/>
            <w:vAlign w:val="center"/>
            <w:tcMar>
              <w:top w:w="60" w:type="dxa"/>
              <w:start w:w="90" w:type="dxa"/>
              <w:bottom w:w="60" w:type="dxa"/>
              <w:end w:w="90" w:type="dxa"/>
            </w:tcMar>
            <w:shd w:fill="FCE4D6"/>
          </w:tcPr>
          <w:p>
            <w:pPr>
              <w:spacing w:after="0" w:line="276" w:lineRule="auto"/>
            </w:pPr>
            <w:r>
              <w:rPr>
                <w:rFonts w:ascii="Times New Roman" w:hAnsi="Times New Roman" w:eastAsia="宋体"/>
                <w:b w:val="0"/>
                <w:sz w:val="18"/>
              </w:rPr>
              <w:t>背景、定制成果、第三方材料的权属和许可</w:t>
            </w:r>
          </w:p>
        </w:tc>
        <w:tc>
          <w:tcPr>
            <w:tcW w:type="dxa" w:w="2778"/>
            <w:vAlign w:val="center"/>
            <w:tcMar>
              <w:top w:w="60" w:type="dxa"/>
              <w:start w:w="90" w:type="dxa"/>
              <w:bottom w:w="60" w:type="dxa"/>
              <w:end w:w="90" w:type="dxa"/>
            </w:tcMar>
            <w:shd w:fill="FCE4D6"/>
          </w:tcPr>
          <w:p>
            <w:pPr>
              <w:spacing w:after="0" w:line="276" w:lineRule="auto"/>
            </w:pPr>
            <w:r>
              <w:rPr>
                <w:rFonts w:ascii="Times New Roman" w:hAnsi="Times New Roman" w:eastAsia="宋体"/>
                <w:b w:val="0"/>
                <w:sz w:val="18"/>
              </w:rPr>
              <w:t>转让范围可分离；背景和第三方不随成果转移；许可范围覆盖使用和维护</w:t>
            </w:r>
          </w:p>
        </w:tc>
      </w:tr>
      <w:tr>
        <w:trPr>
          <w:cantSplit/>
        </w:trPr>
        <w:tc>
          <w:tcPr>
            <w:tcW w:type="dxa" w:w="2381"/>
            <w:vAlign w:val="center"/>
            <w:tcMar>
              <w:top w:w="60" w:type="dxa"/>
              <w:start w:w="90" w:type="dxa"/>
              <w:bottom w:w="60" w:type="dxa"/>
              <w:end w:w="90" w:type="dxa"/>
            </w:tcMar>
            <w:shd w:fill="FCE4D6"/>
          </w:tcPr>
          <w:p>
            <w:pPr>
              <w:spacing w:after="0" w:line="276" w:lineRule="auto"/>
            </w:pPr>
            <w:r>
              <w:rPr>
                <w:rFonts w:ascii="Times New Roman" w:hAnsi="Times New Roman" w:eastAsia="宋体"/>
                <w:b/>
                <w:sz w:val="18"/>
              </w:rPr>
              <w:t>第 11 条 责任</w:t>
            </w:r>
          </w:p>
        </w:tc>
        <w:tc>
          <w:tcPr>
            <w:tcW w:type="dxa" w:w="4195"/>
            <w:vAlign w:val="center"/>
            <w:tcMar>
              <w:top w:w="60" w:type="dxa"/>
              <w:start w:w="90" w:type="dxa"/>
              <w:bottom w:w="60" w:type="dxa"/>
              <w:end w:w="90" w:type="dxa"/>
            </w:tcMar>
            <w:shd w:fill="FCE4D6"/>
          </w:tcPr>
          <w:p>
            <w:pPr>
              <w:spacing w:after="0" w:line="276" w:lineRule="auto"/>
            </w:pPr>
            <w:r>
              <w:rPr>
                <w:rFonts w:ascii="Times New Roman" w:hAnsi="Times New Roman" w:eastAsia="宋体"/>
                <w:b w:val="0"/>
                <w:sz w:val="18"/>
              </w:rPr>
              <w:t>违约金、赔偿、上限、例外和防止重复补偿</w:t>
            </w:r>
          </w:p>
        </w:tc>
        <w:tc>
          <w:tcPr>
            <w:tcW w:type="dxa" w:w="2778"/>
            <w:vAlign w:val="center"/>
            <w:tcMar>
              <w:top w:w="60" w:type="dxa"/>
              <w:start w:w="90" w:type="dxa"/>
              <w:bottom w:w="60" w:type="dxa"/>
              <w:end w:w="90" w:type="dxa"/>
            </w:tcMar>
            <w:shd w:fill="FCE4D6"/>
          </w:tcPr>
          <w:p>
            <w:pPr>
              <w:spacing w:after="0" w:line="276" w:lineRule="auto"/>
            </w:pPr>
            <w:r>
              <w:rPr>
                <w:rFonts w:ascii="Times New Roman" w:hAnsi="Times New Roman" w:eastAsia="宋体"/>
                <w:b w:val="0"/>
                <w:sz w:val="18"/>
              </w:rPr>
              <w:t>上限与金额匹配；法定不得免责事项未被排除；违约金可抵扣损失</w:t>
            </w:r>
          </w:p>
        </w:tc>
      </w:tr>
      <w:tr>
        <w:trPr>
          <w:cantSplit/>
        </w:trPr>
        <w:tc>
          <w:tcPr>
            <w:tcW w:type="dxa" w:w="2381"/>
            <w:vAlign w:val="center"/>
            <w:tcMar>
              <w:top w:w="60" w:type="dxa"/>
              <w:start w:w="90" w:type="dxa"/>
              <w:bottom w:w="60" w:type="dxa"/>
              <w:end w:w="90" w:type="dxa"/>
            </w:tcMar>
            <w:shd w:fill="FCE4D6"/>
          </w:tcPr>
          <w:p>
            <w:pPr>
              <w:spacing w:after="0" w:line="276" w:lineRule="auto"/>
            </w:pPr>
            <w:r>
              <w:rPr>
                <w:rFonts w:ascii="Times New Roman" w:hAnsi="Times New Roman" w:eastAsia="宋体"/>
                <w:b/>
                <w:sz w:val="18"/>
              </w:rPr>
              <w:t>第 12 条 解除与退出</w:t>
            </w:r>
          </w:p>
        </w:tc>
        <w:tc>
          <w:tcPr>
            <w:tcW w:type="dxa" w:w="4195"/>
            <w:vAlign w:val="center"/>
            <w:tcMar>
              <w:top w:w="60" w:type="dxa"/>
              <w:start w:w="90" w:type="dxa"/>
              <w:bottom w:w="60" w:type="dxa"/>
              <w:end w:w="90" w:type="dxa"/>
            </w:tcMar>
            <w:shd w:fill="FCE4D6"/>
          </w:tcPr>
          <w:p>
            <w:pPr>
              <w:spacing w:after="0" w:line="276" w:lineRule="auto"/>
            </w:pPr>
            <w:r>
              <w:rPr>
                <w:rFonts w:ascii="Times New Roman" w:hAnsi="Times New Roman" w:eastAsia="宋体"/>
                <w:b w:val="0"/>
                <w:sz w:val="18"/>
              </w:rPr>
              <w:t>解除条件、已履行部分结算、过渡协助和数据返还</w:t>
            </w:r>
          </w:p>
        </w:tc>
        <w:tc>
          <w:tcPr>
            <w:tcW w:type="dxa" w:w="2778"/>
            <w:vAlign w:val="center"/>
            <w:tcMar>
              <w:top w:w="60" w:type="dxa"/>
              <w:start w:w="90" w:type="dxa"/>
              <w:bottom w:w="60" w:type="dxa"/>
              <w:end w:w="90" w:type="dxa"/>
            </w:tcMar>
            <w:shd w:fill="FCE4D6"/>
          </w:tcPr>
          <w:p>
            <w:pPr>
              <w:spacing w:after="0" w:line="276" w:lineRule="auto"/>
            </w:pPr>
            <w:r>
              <w:rPr>
                <w:rFonts w:ascii="Times New Roman" w:hAnsi="Times New Roman" w:eastAsia="宋体"/>
                <w:b w:val="0"/>
                <w:sz w:val="18"/>
              </w:rPr>
              <w:t>退出协助可执行；预付款不退不适用于无对应履约保障的安排</w:t>
            </w:r>
          </w:p>
        </w:tc>
      </w:tr>
      <w:tr>
        <w:trPr>
          <w:cantSplit/>
        </w:trPr>
        <w:tc>
          <w:tcPr>
            <w:tcW w:type="dxa" w:w="2381"/>
            <w:vAlign w:val="center"/>
            <w:tcMar>
              <w:top w:w="60" w:type="dxa"/>
              <w:start w:w="90" w:type="dxa"/>
              <w:bottom w:w="60" w:type="dxa"/>
              <w:end w:w="90" w:type="dxa"/>
            </w:tcMar>
            <w:shd w:fill="FCE4D6"/>
          </w:tcPr>
          <w:p>
            <w:pPr>
              <w:spacing w:after="0" w:line="276" w:lineRule="auto"/>
            </w:pPr>
            <w:r>
              <w:rPr>
                <w:rFonts w:ascii="Times New Roman" w:hAnsi="Times New Roman" w:eastAsia="宋体"/>
                <w:b/>
                <w:sz w:val="18"/>
              </w:rPr>
              <w:t>第 15 条 争议解决</w:t>
            </w:r>
          </w:p>
        </w:tc>
        <w:tc>
          <w:tcPr>
            <w:tcW w:type="dxa" w:w="4195"/>
            <w:vAlign w:val="center"/>
            <w:tcMar>
              <w:top w:w="60" w:type="dxa"/>
              <w:start w:w="90" w:type="dxa"/>
              <w:bottom w:w="60" w:type="dxa"/>
              <w:end w:w="90" w:type="dxa"/>
            </w:tcMar>
            <w:shd w:fill="FCE4D6"/>
          </w:tcPr>
          <w:p>
            <w:pPr>
              <w:spacing w:after="0" w:line="276" w:lineRule="auto"/>
            </w:pPr>
            <w:r>
              <w:rPr>
                <w:rFonts w:ascii="Times New Roman" w:hAnsi="Times New Roman" w:eastAsia="宋体"/>
                <w:b w:val="0"/>
                <w:sz w:val="18"/>
              </w:rPr>
              <w:t>管辖地点必须与争议有实际联系，且不得违反专属管辖</w:t>
            </w:r>
          </w:p>
        </w:tc>
        <w:tc>
          <w:tcPr>
            <w:tcW w:type="dxa" w:w="2778"/>
            <w:vAlign w:val="center"/>
            <w:tcMar>
              <w:top w:w="60" w:type="dxa"/>
              <w:start w:w="90" w:type="dxa"/>
              <w:bottom w:w="60" w:type="dxa"/>
              <w:end w:w="90" w:type="dxa"/>
            </w:tcMar>
            <w:shd w:fill="FCE4D6"/>
          </w:tcPr>
          <w:p>
            <w:pPr>
              <w:spacing w:after="0" w:line="276" w:lineRule="auto"/>
            </w:pPr>
            <w:r>
              <w:rPr>
                <w:rFonts w:ascii="Times New Roman" w:hAnsi="Times New Roman" w:eastAsia="宋体"/>
                <w:b w:val="0"/>
                <w:sz w:val="18"/>
              </w:rPr>
              <w:t>已核对法院、实际联系和级别管辖</w:t>
            </w:r>
          </w:p>
        </w:tc>
      </w:tr>
    </w:tbl>
    <w:p>
      <w:pPr>
        <w:spacing w:after="60" w:line="300" w:lineRule="auto"/>
      </w:pPr>
    </w:p>
    <w:p>
      <w:pPr>
        <w:keepNext w:val="0"/>
        <w:spacing w:before="0" w:after="60" w:line="300" w:lineRule="auto"/>
      </w:pPr>
      <w:r>
        <w:rPr>
          <w:rFonts w:ascii="Times New Roman" w:hAnsi="Times New Roman" w:eastAsia="宋体"/>
          <w:b w:val="0"/>
          <w:color w:val="404040"/>
          <w:sz w:val="18"/>
        </w:rPr>
        <w:t>双方确认已阅读并理解上述条款。该确认不替代任何一方的独立法律判断。</w:t>
      </w:r>
    </w:p>
    <w:p>
      <w:pPr>
        <w:spacing w:after="60" w:line="300" w:lineRule="auto"/>
      </w:pPr>
      <w:r>
        <w:br w:type="page"/>
      </w:r>
    </w:p>
    <w:p>
      <w:pPr>
        <w:pStyle w:val="Heading1"/>
      </w:pPr>
      <w:r>
        <w:t>采购服务合同</w:t>
      </w:r>
    </w:p>
    <w:p>
      <w:pPr>
        <w:keepNext w:val="0"/>
        <w:spacing w:before="0" w:after="60" w:line="300" w:lineRule="auto"/>
      </w:pPr>
      <w:r>
        <w:rPr>
          <w:rFonts w:ascii="Times New Roman" w:hAnsi="Times New Roman" w:eastAsia="宋体"/>
          <w:b/>
          <w:sz w:val="21"/>
        </w:rPr>
        <w:t>合同编号：【填写】</w:t>
      </w:r>
    </w:p>
    <w:p>
      <w:pPr>
        <w:keepNext w:val="0"/>
        <w:spacing w:before="0" w:after="60" w:line="300" w:lineRule="auto"/>
      </w:pPr>
      <w:r>
        <w:rPr>
          <w:rFonts w:ascii="Times New Roman" w:hAnsi="Times New Roman" w:eastAsia="宋体"/>
          <w:b w:val="0"/>
          <w:sz w:val="21"/>
        </w:rPr>
        <w:t>甲方（采购方）：【填写企业全称】</w:t>
      </w:r>
    </w:p>
    <w:p>
      <w:pPr>
        <w:keepNext w:val="0"/>
        <w:spacing w:before="0" w:after="60" w:line="300" w:lineRule="auto"/>
      </w:pPr>
      <w:r>
        <w:rPr>
          <w:rFonts w:ascii="Times New Roman" w:hAnsi="Times New Roman" w:eastAsia="宋体"/>
          <w:b w:val="0"/>
          <w:color w:val="404040"/>
          <w:sz w:val="19"/>
        </w:rPr>
        <w:t>统一社会信用代码：【填写】</w:t>
      </w:r>
    </w:p>
    <w:p>
      <w:pPr>
        <w:keepNext w:val="0"/>
        <w:spacing w:before="0" w:after="60" w:line="300" w:lineRule="auto"/>
      </w:pPr>
      <w:r>
        <w:rPr>
          <w:rFonts w:ascii="Times New Roman" w:hAnsi="Times New Roman" w:eastAsia="宋体"/>
          <w:b w:val="0"/>
          <w:color w:val="404040"/>
          <w:sz w:val="19"/>
        </w:rPr>
        <w:t>住所：【填写】</w:t>
      </w:r>
    </w:p>
    <w:p>
      <w:pPr>
        <w:keepNext w:val="0"/>
        <w:spacing w:before="0" w:after="60" w:line="300" w:lineRule="auto"/>
      </w:pPr>
      <w:r>
        <w:rPr>
          <w:rFonts w:ascii="Times New Roman" w:hAnsi="Times New Roman" w:eastAsia="宋体"/>
          <w:b w:val="0"/>
          <w:sz w:val="21"/>
        </w:rPr>
        <w:t>乙方（服务方）：【填写企业全称】</w:t>
      </w:r>
    </w:p>
    <w:p>
      <w:pPr>
        <w:keepNext w:val="0"/>
        <w:spacing w:before="0" w:after="60" w:line="300" w:lineRule="auto"/>
      </w:pPr>
      <w:r>
        <w:rPr>
          <w:rFonts w:ascii="Times New Roman" w:hAnsi="Times New Roman" w:eastAsia="宋体"/>
          <w:b w:val="0"/>
          <w:color w:val="404040"/>
          <w:sz w:val="19"/>
        </w:rPr>
        <w:t>统一社会信用代码：【填写】</w:t>
      </w:r>
    </w:p>
    <w:p>
      <w:pPr>
        <w:keepNext w:val="0"/>
        <w:spacing w:before="0" w:after="60" w:line="300" w:lineRule="auto"/>
      </w:pPr>
      <w:r>
        <w:rPr>
          <w:rFonts w:ascii="Times New Roman" w:hAnsi="Times New Roman" w:eastAsia="宋体"/>
          <w:b w:val="0"/>
          <w:color w:val="404040"/>
          <w:sz w:val="19"/>
        </w:rPr>
        <w:t>住所：【填写】</w:t>
      </w:r>
    </w:p>
    <w:p>
      <w:pPr>
        <w:keepNext w:val="0"/>
        <w:spacing w:before="0" w:after="60" w:line="300" w:lineRule="auto"/>
      </w:pPr>
      <w:r>
        <w:rPr>
          <w:rFonts w:ascii="Times New Roman" w:hAnsi="Times New Roman" w:eastAsia="宋体"/>
          <w:b w:val="0"/>
          <w:color w:val="595959"/>
          <w:sz w:val="19"/>
        </w:rPr>
        <w:t>（甲方、乙方单称“一方”，合称“双方”）</w:t>
      </w:r>
    </w:p>
    <w:p>
      <w:pPr>
        <w:keepNext w:val="0"/>
        <w:spacing w:before="120" w:after="60" w:line="300" w:lineRule="auto"/>
      </w:pPr>
      <w:r>
        <w:rPr>
          <w:rFonts w:ascii="Times New Roman" w:hAnsi="Times New Roman" w:eastAsia="宋体"/>
          <w:b/>
          <w:sz w:val="21"/>
        </w:rPr>
        <w:t>鉴于：</w:t>
      </w:r>
    </w:p>
    <w:p>
      <w:pPr>
        <w:pStyle w:val="ListNumber"/>
        <w:spacing w:after="40" w:line="312" w:lineRule="auto"/>
      </w:pPr>
      <w:r>
        <w:rPr>
          <w:rFonts w:ascii="Times New Roman" w:hAnsi="Times New Roman" w:eastAsia="宋体"/>
          <w:sz w:val="21"/>
        </w:rPr>
        <w:t>甲方拟采购【填写服务名称】，乙方具备提供相应服务的能力和资质；</w:t>
      </w:r>
    </w:p>
    <w:p>
      <w:pPr>
        <w:pStyle w:val="ListNumber"/>
        <w:spacing w:after="40" w:line="312" w:lineRule="auto"/>
      </w:pPr>
      <w:r>
        <w:rPr>
          <w:rFonts w:ascii="Times New Roman" w:hAnsi="Times New Roman" w:eastAsia="宋体"/>
          <w:sz w:val="21"/>
        </w:rPr>
        <w:t>双方希望通过本合同及工作说明书明确服务范围、交付物、验收标准、价款和双方权利义务；</w:t>
      </w:r>
    </w:p>
    <w:p>
      <w:pPr>
        <w:pStyle w:val="ListNumber"/>
        <w:spacing w:after="40" w:line="312" w:lineRule="auto"/>
      </w:pPr>
      <w:r>
        <w:rPr>
          <w:rFonts w:ascii="Times New Roman" w:hAnsi="Times New Roman" w:eastAsia="宋体"/>
          <w:sz w:val="21"/>
        </w:rPr>
        <w:t>乙方确认已阅读本合同及工作说明书，并具备履行所需的人员、经验和资源。</w:t>
      </w:r>
    </w:p>
    <w:p>
      <w:pPr>
        <w:keepNext w:val="0"/>
        <w:spacing w:before="80" w:after="60" w:line="300" w:lineRule="auto"/>
      </w:pPr>
      <w:r>
        <w:rPr>
          <w:rFonts w:ascii="Times New Roman" w:hAnsi="Times New Roman" w:eastAsia="宋体"/>
          <w:b w:val="0"/>
          <w:sz w:val="21"/>
        </w:rPr>
        <w:t>因此，双方经平等协商，达成如下协议：</w:t>
      </w:r>
    </w:p>
    <w:p>
      <w:pPr>
        <w:pStyle w:val="Heading2"/>
      </w:pPr>
      <w:r>
        <w:t>第一条  定义与文件优先顺序</w:t>
      </w:r>
    </w:p>
    <w:p>
      <w:pPr>
        <w:keepNext w:val="0"/>
        <w:spacing w:before="0" w:after="60" w:line="300" w:lineRule="auto"/>
      </w:pPr>
      <w:r>
        <w:rPr>
          <w:rFonts w:ascii="Times New Roman" w:hAnsi="Times New Roman" w:eastAsia="宋体"/>
          <w:b w:val="0"/>
          <w:sz w:val="21"/>
        </w:rPr>
        <w:t>1.1 本合同由主合同、工作说明书、验收单、变更单及双方签署的其他附件组成。工作说明书、验收单和变更单是本合同不可分割的组成部分。</w:t>
      </w:r>
    </w:p>
    <w:p>
      <w:pPr>
        <w:keepNext w:val="0"/>
        <w:spacing w:before="0" w:after="60" w:line="300" w:lineRule="auto"/>
      </w:pPr>
      <w:r>
        <w:rPr>
          <w:rFonts w:ascii="Times New Roman" w:hAnsi="Times New Roman" w:eastAsia="宋体"/>
          <w:b w:val="0"/>
          <w:sz w:val="21"/>
        </w:rPr>
        <w:t>1.2 文件之间不一致时，按下列顺序解释：（a）双方最后签署的变更单；（b）主合同正文；（c）工作说明书；（d）验收单；（e）其他附件。</w:t>
      </w:r>
    </w:p>
    <w:p>
      <w:pPr>
        <w:keepNext w:val="0"/>
        <w:spacing w:before="0" w:after="60" w:line="300" w:lineRule="auto"/>
      </w:pPr>
      <w:r>
        <w:rPr>
          <w:rFonts w:ascii="Times New Roman" w:hAnsi="Times New Roman" w:eastAsia="宋体"/>
          <w:b w:val="0"/>
          <w:sz w:val="21"/>
        </w:rPr>
        <w:t>1.3 验收单仅记录验收事实、缺陷、整改和关闭情况，不改变主合同或工作说明书约定的权利义务；如需变更范围、价款、工期或验收标准，应签署变更单。</w:t>
      </w:r>
    </w:p>
    <w:p>
      <w:pPr>
        <w:keepNext w:val="0"/>
        <w:spacing w:before="0" w:after="60" w:line="300" w:lineRule="auto"/>
      </w:pPr>
      <w:r>
        <w:rPr>
          <w:rFonts w:ascii="Times New Roman" w:hAnsi="Times New Roman" w:eastAsia="宋体"/>
          <w:b w:val="0"/>
          <w:sz w:val="21"/>
        </w:rPr>
        <w:t>1.4 附件未签署、未列明或未注明版本的，不构成本合同组成部分；双方不得以“最新版本”“最终版”等不确定表述替代具体版本。</w:t>
      </w:r>
    </w:p>
    <w:p>
      <w:pPr>
        <w:keepNext w:val="0"/>
        <w:spacing w:before="0" w:after="60" w:line="300" w:lineRule="auto"/>
      </w:pPr>
      <w:r>
        <w:rPr>
          <w:rFonts w:ascii="Times New Roman" w:hAnsi="Times New Roman" w:eastAsia="宋体"/>
          <w:b w:val="0"/>
          <w:sz w:val="21"/>
        </w:rPr>
        <w:t>1.5 本合同所称“工作日”指中华人民共和国法定工作日；“日”指自然日，双方另有明确约定的除外。</w:t>
      </w:r>
    </w:p>
    <w:p>
      <w:pPr>
        <w:pStyle w:val="Heading2"/>
      </w:pPr>
      <w:r>
        <w:t>第二条  服务范围与工作说明书</w:t>
      </w:r>
    </w:p>
    <w:p>
      <w:pPr>
        <w:keepNext w:val="0"/>
        <w:spacing w:before="0" w:after="60" w:line="300" w:lineRule="auto"/>
      </w:pPr>
      <w:r>
        <w:rPr>
          <w:rFonts w:ascii="Times New Roman" w:hAnsi="Times New Roman" w:eastAsia="宋体"/>
          <w:b w:val="0"/>
          <w:sz w:val="21"/>
        </w:rPr>
        <w:t>2.1 乙方应按工作说明书约定的范围、排除项、交付物、里程碑、人员安排和验收标准提供服务。工作说明书应列明服务内容、排除项、交付物、人员安排、甲方前提条件和时间计划。</w:t>
      </w:r>
    </w:p>
    <w:p>
      <w:pPr>
        <w:keepNext w:val="0"/>
        <w:spacing w:before="0" w:after="60" w:line="300" w:lineRule="auto"/>
      </w:pPr>
      <w:r>
        <w:rPr>
          <w:rFonts w:ascii="Times New Roman" w:hAnsi="Times New Roman" w:eastAsia="宋体"/>
          <w:b w:val="0"/>
          <w:sz w:val="21"/>
        </w:rPr>
        <w:t>2.2 工作说明书未列明的服务，不属于本合同范围。乙方不得以“行业惯例”“合理必要”“后续优化”为由扩大范围或增加价款。</w:t>
      </w:r>
    </w:p>
    <w:p>
      <w:pPr>
        <w:keepNext w:val="0"/>
        <w:spacing w:before="0" w:after="60" w:line="300" w:lineRule="auto"/>
      </w:pPr>
      <w:r>
        <w:rPr>
          <w:rFonts w:ascii="Times New Roman" w:hAnsi="Times New Roman" w:eastAsia="宋体"/>
          <w:b w:val="0"/>
          <w:sz w:val="21"/>
        </w:rPr>
        <w:t>2.3 乙方应指定一名项目经理，负责日常沟通、进度报告、风险提示和交付协调；项目经理变更应提前书面通知甲方。</w:t>
      </w:r>
    </w:p>
    <w:p>
      <w:pPr>
        <w:keepNext w:val="0"/>
        <w:spacing w:before="0" w:after="60" w:line="300" w:lineRule="auto"/>
      </w:pPr>
      <w:r>
        <w:rPr>
          <w:rFonts w:ascii="Times New Roman" w:hAnsi="Times New Roman" w:eastAsia="宋体"/>
          <w:b w:val="0"/>
          <w:sz w:val="21"/>
        </w:rPr>
        <w:t>2.4 乙方应按照工作说明书的时间计划提交交付物；预计无法按期交付的，应至少提前五（5）个工作日书面说明原因、影响和补救方案。</w:t>
      </w:r>
    </w:p>
    <w:p>
      <w:pPr>
        <w:keepNext w:val="0"/>
        <w:spacing w:before="0" w:after="60" w:line="300" w:lineRule="auto"/>
      </w:pPr>
      <w:r>
        <w:rPr>
          <w:rFonts w:ascii="Times New Roman" w:hAnsi="Times New Roman" w:eastAsia="宋体"/>
          <w:b w:val="0"/>
          <w:sz w:val="21"/>
        </w:rPr>
        <w:t>2.5 服务性质应按实际内容识别。涉及承揽、委托、技术咨询或技术服务的，双方应核对相应的合同规则和成果权属安排；合同名称不影响性质判断。</w:t>
      </w:r>
    </w:p>
    <w:p>
      <w:pPr>
        <w:pStyle w:val="Heading2"/>
      </w:pPr>
      <w:r>
        <w:t>第三条  交付、里程碑与人员</w:t>
      </w:r>
    </w:p>
    <w:p>
      <w:pPr>
        <w:keepNext w:val="0"/>
        <w:spacing w:before="0" w:after="60" w:line="300" w:lineRule="auto"/>
      </w:pPr>
      <w:r>
        <w:rPr>
          <w:rFonts w:ascii="Times New Roman" w:hAnsi="Times New Roman" w:eastAsia="宋体"/>
          <w:b w:val="0"/>
          <w:sz w:val="21"/>
        </w:rPr>
        <w:t>3.1 乙方应按工作说明书列明的里程碑提交交付物，并保证交付物完整、可读、可编辑（如适用）且符合验收标准。</w:t>
      </w:r>
    </w:p>
    <w:p>
      <w:pPr>
        <w:keepNext w:val="0"/>
        <w:spacing w:before="0" w:after="60" w:line="300" w:lineRule="auto"/>
      </w:pPr>
      <w:r>
        <w:rPr>
          <w:rFonts w:ascii="Times New Roman" w:hAnsi="Times New Roman" w:eastAsia="宋体"/>
          <w:b w:val="0"/>
          <w:sz w:val="21"/>
        </w:rPr>
        <w:t>3.2 交付物提交时，乙方应同时提交交付清单、版本号、变更说明和必要的支持材料；甲方签收不构成验收合格。</w:t>
      </w:r>
    </w:p>
    <w:p>
      <w:pPr>
        <w:keepNext w:val="0"/>
        <w:spacing w:before="0" w:after="60" w:line="300" w:lineRule="auto"/>
      </w:pPr>
      <w:r>
        <w:rPr>
          <w:rFonts w:ascii="Times New Roman" w:hAnsi="Times New Roman" w:eastAsia="宋体"/>
          <w:b w:val="0"/>
          <w:sz w:val="21"/>
        </w:rPr>
        <w:t>3.3 乙方应配备工作说明书列明的关键人员。未经甲方书面同意，乙方不得更换关键人员；替换人员应具备同等或更高能力。</w:t>
      </w:r>
    </w:p>
    <w:p>
      <w:pPr>
        <w:keepNext w:val="0"/>
        <w:spacing w:before="0" w:after="60" w:line="300" w:lineRule="auto"/>
      </w:pPr>
      <w:r>
        <w:rPr>
          <w:rFonts w:ascii="Times New Roman" w:hAnsi="Times New Roman" w:eastAsia="宋体"/>
          <w:b w:val="0"/>
          <w:sz w:val="21"/>
        </w:rPr>
        <w:t>3.4 甲方应按工作说明书提供资料、访谈窗口、场地和接口人。甲方未履行前提条件导致工期延误的，双方应合理调整工期，但不当然增加价款。</w:t>
      </w:r>
    </w:p>
    <w:p>
      <w:pPr>
        <w:keepNext w:val="0"/>
        <w:spacing w:before="0" w:after="60" w:line="300" w:lineRule="auto"/>
      </w:pPr>
      <w:r>
        <w:rPr>
          <w:rFonts w:ascii="Times New Roman" w:hAnsi="Times New Roman" w:eastAsia="宋体"/>
          <w:b w:val="0"/>
          <w:sz w:val="21"/>
        </w:rPr>
        <w:t>3.5 乙方应保存与服务有关的项目计划、会议记录、交付版本和验收材料，保存期限按合同、法定义务和争议保全需要确定。</w:t>
      </w:r>
    </w:p>
    <w:p>
      <w:pPr>
        <w:pStyle w:val="Heading2"/>
      </w:pPr>
      <w:r>
        <w:t>第四条  验收、整改与复验</w:t>
      </w:r>
    </w:p>
    <w:p>
      <w:pPr>
        <w:keepNext w:val="0"/>
        <w:spacing w:before="0" w:after="60" w:line="300" w:lineRule="auto"/>
      </w:pPr>
      <w:r>
        <w:rPr>
          <w:rFonts w:ascii="Times New Roman" w:hAnsi="Times New Roman" w:eastAsia="宋体"/>
          <w:b w:val="0"/>
          <w:sz w:val="21"/>
        </w:rPr>
        <w:t>4.1 乙方按工作说明书交付成果后，应向甲方提交书面验收申请及完整交付物。甲方应在收到完整交付物后十（10）个工作日内，按工作说明书列明的标准进行验收，并出具书面验收意见。</w:t>
      </w:r>
    </w:p>
    <w:p>
      <w:pPr>
        <w:keepNext w:val="0"/>
        <w:spacing w:before="0" w:after="60" w:line="300" w:lineRule="auto"/>
      </w:pPr>
      <w:r>
        <w:rPr>
          <w:rFonts w:ascii="Times New Roman" w:hAnsi="Times New Roman" w:eastAsia="宋体"/>
          <w:b w:val="0"/>
          <w:sz w:val="21"/>
        </w:rPr>
        <w:t>4.2 验收不合格的，甲方应一次性书面列明缺陷、不符合项和整改要求；乙方应在十（10）个工作日内完成整改并提交复验。复验应在五（5）个工作日内完成。</w:t>
      </w:r>
    </w:p>
    <w:p>
      <w:pPr>
        <w:keepNext w:val="0"/>
        <w:spacing w:before="0" w:after="60" w:line="300" w:lineRule="auto"/>
      </w:pPr>
      <w:r>
        <w:rPr>
          <w:rFonts w:ascii="Times New Roman" w:hAnsi="Times New Roman" w:eastAsia="宋体"/>
          <w:b w:val="0"/>
          <w:sz w:val="21"/>
        </w:rPr>
        <w:t>4.3 验收以甲方书面验收合格为准。本合同不采用“未提出异议即视为验收”的默示验收机制；付款、开票、甲方使用部分成果或未在期限内提出异议，均不构成验收合格。</w:t>
      </w:r>
    </w:p>
    <w:p>
      <w:pPr>
        <w:keepNext w:val="0"/>
        <w:spacing w:before="0" w:after="60" w:line="300" w:lineRule="auto"/>
      </w:pPr>
      <w:r>
        <w:rPr>
          <w:rFonts w:ascii="Times New Roman" w:hAnsi="Times New Roman" w:eastAsia="宋体"/>
          <w:b w:val="0"/>
          <w:sz w:val="21"/>
        </w:rPr>
        <w:t>4.4 双方可以在验收单中约定“有条件合格”，但应同时满足：（a）遗留缺陷不构成重大缺陷，不影响交付物的主要功能和甲方业务使用；（b）逐项列明遗留缺陷、严重程度、整改期限和责任人；（c）约定与遗留缺陷相匹配的付款保留比例，保留比例不超过对应阶段价款的百分之十；（d）明确关闭责任人和关闭确认方式。遗留缺陷关闭前，不视为最终验收。</w:t>
      </w:r>
    </w:p>
    <w:p>
      <w:pPr>
        <w:keepNext w:val="0"/>
        <w:spacing w:before="0" w:after="60" w:line="300" w:lineRule="auto"/>
      </w:pPr>
      <w:r>
        <w:rPr>
          <w:rFonts w:ascii="Times New Roman" w:hAnsi="Times New Roman" w:eastAsia="宋体"/>
          <w:b w:val="0"/>
          <w:sz w:val="21"/>
        </w:rPr>
        <w:t>4.5 经两次整改仍不能达到验收标准的，甲方有权要求乙方继续整改、减少价款、解除合同或按本合同约定主张违约责任。</w:t>
      </w:r>
    </w:p>
    <w:p>
      <w:pPr>
        <w:keepNext w:val="0"/>
        <w:spacing w:before="0" w:after="60" w:line="300" w:lineRule="auto"/>
      </w:pPr>
      <w:r>
        <w:rPr>
          <w:rFonts w:ascii="Times New Roman" w:hAnsi="Times New Roman" w:eastAsia="宋体"/>
          <w:b w:val="0"/>
          <w:sz w:val="21"/>
        </w:rPr>
        <w:t>4.6 验收标准不明确的，双方应回到工作说明书补充；无法补充的，按行业合理标准和本合同目的解释，不当然采用乙方单方标准。</w:t>
      </w:r>
    </w:p>
    <w:p>
      <w:pPr>
        <w:keepNext w:val="0"/>
        <w:spacing w:before="0" w:after="60" w:line="300" w:lineRule="auto"/>
      </w:pPr>
      <w:r>
        <w:rPr>
          <w:rFonts w:ascii="Times New Roman" w:hAnsi="Times New Roman" w:eastAsia="宋体"/>
          <w:b w:val="0"/>
          <w:sz w:val="21"/>
        </w:rPr>
        <w:t>4.7 甲方不得以反复补充材料、内部流程未完成或无合理理由拖延验收。甲方认为材料不完整的，应在收到交付物后五（5）个工作日内一次性书面说明缺口；逾期未说明的，视为材料完整并进入验收期。</w:t>
      </w:r>
    </w:p>
    <w:p>
      <w:pPr>
        <w:keepNext w:val="0"/>
        <w:spacing w:before="0" w:after="60" w:line="300" w:lineRule="auto"/>
      </w:pPr>
      <w:r>
        <w:rPr>
          <w:rFonts w:ascii="Times New Roman" w:hAnsi="Times New Roman" w:eastAsia="宋体"/>
          <w:b w:val="0"/>
          <w:sz w:val="21"/>
        </w:rPr>
        <w:t>4.8 甲方有权委托第三方对交付物进行复核，费用由甲方承担；复核发现重大缺陷的，乙方应承担整改费用。第三方复核不改变本合同约定的验收期限和付款条件。</w:t>
      </w:r>
    </w:p>
    <w:p>
      <w:pPr>
        <w:keepNext w:val="0"/>
        <w:spacing w:before="0" w:after="60" w:line="300" w:lineRule="auto"/>
      </w:pPr>
      <w:r>
        <w:rPr>
          <w:rFonts w:ascii="Times New Roman" w:hAnsi="Times New Roman" w:eastAsia="宋体"/>
          <w:b w:val="0"/>
          <w:sz w:val="21"/>
        </w:rPr>
        <w:t>4.9 验收合格不免除乙方对隐蔽缺陷、知识产权侵权、保密义务和法定责任应承担的责任；但甲方在验收时已经知道且未提出的明显缺陷，双方可以约定处理方式，不得违反法律强制性规定。</w:t>
      </w:r>
    </w:p>
    <w:p>
      <w:pPr>
        <w:pStyle w:val="Heading2"/>
      </w:pPr>
      <w:r>
        <w:t>第五条  价款、税费与付款</w:t>
      </w:r>
    </w:p>
    <w:p>
      <w:pPr>
        <w:keepNext w:val="0"/>
        <w:spacing w:before="0" w:after="60" w:line="300" w:lineRule="auto"/>
      </w:pPr>
      <w:r>
        <w:rPr>
          <w:rFonts w:ascii="Times New Roman" w:hAnsi="Times New Roman" w:eastAsia="宋体"/>
          <w:b w:val="0"/>
          <w:sz w:val="21"/>
        </w:rPr>
        <w:t>5.1 本合同含税总价为人民币【填写金额】元（大写：【填写】），适用增值税税率【填写】%，乙方应开具合法有效的增值税专用发票。税率变化不影响含税总价，但法律另有强制规定的除外。</w:t>
      </w:r>
    </w:p>
    <w:p>
      <w:pPr>
        <w:keepNext w:val="0"/>
        <w:spacing w:before="0" w:after="60" w:line="300" w:lineRule="auto"/>
      </w:pPr>
      <w:r>
        <w:t>5.2 付款按以下通用节点支付：（a）合同生效且乙方提交启动计划、人员名单和合法发票后，支付预付款【30】%，即人民币【填写】元；（b）阶段交付物验收合格且乙方提交合法发票后，支付进度款【40】%，即人民币【填写】元；（c）全部交付物验收合格、结项材料齐全且乙方提交合法发票后，支付尾款【30】%，即人民币【填写】元。具体阶段、金额和条件见工作说明书。</w:t>
      </w:r>
    </w:p>
    <w:p>
      <w:pPr>
        <w:keepNext w:val="0"/>
        <w:spacing w:before="0" w:after="60" w:line="300" w:lineRule="auto"/>
      </w:pPr>
      <w:r>
        <w:rPr>
          <w:rFonts w:ascii="Times New Roman" w:hAnsi="Times New Roman" w:eastAsia="宋体"/>
          <w:b w:val="0"/>
          <w:sz w:val="21"/>
        </w:rPr>
        <w:t>5.3 每笔付款均以对应的可核验履约材料为前提。开票不等于验收，发票不能替代交付物、验收单或结项材料。</w:t>
      </w:r>
    </w:p>
    <w:p>
      <w:pPr>
        <w:keepNext w:val="0"/>
        <w:spacing w:before="0" w:after="60" w:line="300" w:lineRule="auto"/>
      </w:pPr>
      <w:r>
        <w:t>5.4 甲方在收到完整付款申请材料后三十（30）日内付款。乙方未提交完整材料的，付款期限自补正之日起重新计算；甲方不得以内部付款流程、法定代表人变更、无合同依据的审计或反复补材料为由无限推迟付款。结项材料齐全指成果清单、验收及费用结算材料已备齐，不以尾款支付后的最终关闭为前提；如本合同适用中小企业款项支付条例，期限起算和拖延验收后果按该条例执行。</w:t>
      </w:r>
    </w:p>
    <w:p>
      <w:pPr>
        <w:keepNext w:val="0"/>
        <w:spacing w:before="0" w:after="60" w:line="300" w:lineRule="auto"/>
      </w:pPr>
      <w:r>
        <w:rPr>
          <w:rFonts w:ascii="Times New Roman" w:hAnsi="Times New Roman" w:eastAsia="宋体"/>
          <w:b w:val="0"/>
          <w:sz w:val="21"/>
        </w:rPr>
        <w:t>5.5 双方应在签署前核验《保障中小企业款项支付条例》是否适用。如甲方属于机关、事业单位或大型企业，乙方属于中小企业，付款期限、验收期限、非现金支付和逾期利息按该条例及适用规定执行；约定不得违反其强制性要求。</w:t>
      </w:r>
    </w:p>
    <w:p>
      <w:pPr>
        <w:keepNext w:val="0"/>
        <w:spacing w:before="0" w:after="60" w:line="300" w:lineRule="auto"/>
      </w:pPr>
      <w:r>
        <w:rPr>
          <w:rFonts w:ascii="Times New Roman" w:hAnsi="Times New Roman" w:eastAsia="宋体"/>
          <w:b w:val="0"/>
          <w:sz w:val="21"/>
        </w:rPr>
        <w:t>5.6 甲方有权抵扣双方书面确认的无争议金额；有争议的部分不影响无争议部分的付款。甲方不得以存在部分争议为由拒付全部款项。</w:t>
      </w:r>
    </w:p>
    <w:p>
      <w:pPr>
        <w:keepNext w:val="0"/>
        <w:spacing w:before="0" w:after="60" w:line="300" w:lineRule="auto"/>
      </w:pPr>
      <w:r>
        <w:rPr>
          <w:rFonts w:ascii="Times New Roman" w:hAnsi="Times New Roman" w:eastAsia="宋体"/>
          <w:b w:val="0"/>
          <w:sz w:val="21"/>
        </w:rPr>
        <w:t>5.7 乙方收款账户应与其合同主体一致；变更收款账户的，应提供加盖公章的书面说明和授权文件，甲方应通过独立渠道核验，防范账户欺诈。</w:t>
      </w:r>
    </w:p>
    <w:p>
      <w:pPr>
        <w:keepNext w:val="0"/>
        <w:spacing w:before="0" w:after="60" w:line="300" w:lineRule="auto"/>
      </w:pPr>
      <w:r>
        <w:rPr>
          <w:rFonts w:ascii="Times New Roman" w:hAnsi="Times New Roman" w:eastAsia="宋体"/>
          <w:b w:val="0"/>
          <w:sz w:val="21"/>
        </w:rPr>
        <w:t>5.8 预付款超过合同总价百分之三十的，应登记偏离并完成财务核验；超过百分之五十的，进入 R3 升级审批。预付款应与其对应的启动材料、履约保障或分期抵扣安排匹配。</w:t>
      </w:r>
    </w:p>
    <w:p>
      <w:pPr>
        <w:pStyle w:val="Heading2"/>
      </w:pPr>
      <w:r>
        <w:t>第六条  变更</w:t>
      </w:r>
    </w:p>
    <w:p>
      <w:pPr>
        <w:keepNext w:val="0"/>
        <w:spacing w:before="0" w:after="60" w:line="300" w:lineRule="auto"/>
      </w:pPr>
      <w:r>
        <w:rPr>
          <w:rFonts w:ascii="Times New Roman" w:hAnsi="Times New Roman" w:eastAsia="宋体"/>
          <w:b w:val="0"/>
          <w:sz w:val="21"/>
        </w:rPr>
        <w:t>6.1 任何范围、价款、工期、交付物、人员或验收标准的变更，均应由双方授权代表签署书面变更单后生效。口头指示、会议纪要、即时通讯记录不构成变更，除非双方随后签署变更单确认。</w:t>
      </w:r>
    </w:p>
    <w:p>
      <w:pPr>
        <w:keepNext w:val="0"/>
        <w:spacing w:before="0" w:after="60" w:line="300" w:lineRule="auto"/>
      </w:pPr>
      <w:r>
        <w:rPr>
          <w:rFonts w:ascii="Times New Roman" w:hAnsi="Times New Roman" w:eastAsia="宋体"/>
          <w:b w:val="0"/>
          <w:sz w:val="21"/>
        </w:rPr>
        <w:t>6.2 乙方发现可能需要变更的，应在三（3）个工作日内书面说明原因、影响范围、价款和工期调整建议；未经甲方书面批准，乙方不得执行变更或停工。</w:t>
      </w:r>
    </w:p>
    <w:p>
      <w:pPr>
        <w:keepNext w:val="0"/>
        <w:spacing w:before="0" w:after="60" w:line="300" w:lineRule="auto"/>
      </w:pPr>
      <w:r>
        <w:rPr>
          <w:rFonts w:ascii="Times New Roman" w:hAnsi="Times New Roman" w:eastAsia="宋体"/>
          <w:b w:val="0"/>
          <w:sz w:val="21"/>
        </w:rPr>
        <w:t>6.3 因甲方原因导致的变更，双方应合理调整价款和工期；因乙方原因导致的返工、缺陷修复或范围增加，不得增加价款。</w:t>
      </w:r>
    </w:p>
    <w:p>
      <w:pPr>
        <w:keepNext w:val="0"/>
        <w:spacing w:before="0" w:after="60" w:line="300" w:lineRule="auto"/>
      </w:pPr>
      <w:r>
        <w:rPr>
          <w:rFonts w:ascii="Times New Roman" w:hAnsi="Times New Roman" w:eastAsia="宋体"/>
          <w:b w:val="0"/>
          <w:sz w:val="21"/>
        </w:rPr>
        <w:t>6.4 变更单应编号并指向原合同和原工作说明书，至少列明变更内容、原因、价款增减、工期影响、验收标准、知识产权和数据影响。变更单与原文件冲突时，以最后签署的变更单为准。</w:t>
      </w:r>
    </w:p>
    <w:p>
      <w:pPr>
        <w:keepNext w:val="0"/>
        <w:spacing w:before="0" w:after="60" w:line="300" w:lineRule="auto"/>
      </w:pPr>
      <w:r>
        <w:rPr>
          <w:rFonts w:ascii="Times New Roman" w:hAnsi="Times New Roman" w:eastAsia="宋体"/>
          <w:b w:val="0"/>
          <w:sz w:val="21"/>
        </w:rPr>
        <w:t>6.5 变更导致合同金额、期限或风险超出原审批范围的，应重新核验审批路由。内部重新审批是甲方的内部控制要求；未完成内部审批不当然使已经由有权代表签署的对外变更无效，但可能产生内部责任、付款风险和授权争议，应由法务结合授权、双方合意和履行证据个案判断。</w:t>
      </w:r>
    </w:p>
    <w:p>
      <w:pPr>
        <w:keepNext w:val="0"/>
        <w:spacing w:before="0" w:after="60" w:line="300" w:lineRule="auto"/>
      </w:pPr>
      <w:r>
        <w:rPr>
          <w:rFonts w:ascii="Times New Roman" w:hAnsi="Times New Roman" w:eastAsia="宋体"/>
          <w:b w:val="0"/>
          <w:sz w:val="21"/>
        </w:rPr>
        <w:t>6.6 累计变更金额超过原合同总价百分之十，或累计变更导致金额、期限、预付款跨越审批档位的，甲方应重新计算累计承诺并补充审批；乙方不得以“已经实施”为由要求甲方接受未经授权的变更。</w:t>
      </w:r>
    </w:p>
    <w:p>
      <w:pPr>
        <w:keepNext w:val="0"/>
        <w:spacing w:before="0" w:after="60" w:line="300" w:lineRule="auto"/>
      </w:pPr>
      <w:r>
        <w:rPr>
          <w:rFonts w:ascii="Times New Roman" w:hAnsi="Times New Roman" w:eastAsia="宋体"/>
          <w:b w:val="0"/>
          <w:sz w:val="21"/>
        </w:rPr>
        <w:t>6.7 紧急情况下，甲方可以书面发出临时指令，但应同时明确工作范围、费用上限和有效期；乙方应在指令范围内执行，并在五（5）个工作日内补签变更单。</w:t>
      </w:r>
    </w:p>
    <w:p>
      <w:pPr>
        <w:pStyle w:val="Heading2"/>
      </w:pPr>
      <w:r>
        <w:t>第七条  分包与第三方材料</w:t>
      </w:r>
    </w:p>
    <w:p>
      <w:pPr>
        <w:keepNext w:val="0"/>
        <w:spacing w:before="0" w:after="60" w:line="300" w:lineRule="auto"/>
      </w:pPr>
      <w:r>
        <w:rPr>
          <w:rFonts w:ascii="Times New Roman" w:hAnsi="Times New Roman" w:eastAsia="宋体"/>
          <w:b w:val="0"/>
          <w:sz w:val="21"/>
        </w:rPr>
        <w:t>7.1 乙方不得将本合同项下全部或主要服务分包，未经甲方事先书面同意，不得将任何部分分包。</w:t>
      </w:r>
    </w:p>
    <w:p>
      <w:pPr>
        <w:keepNext w:val="0"/>
        <w:spacing w:before="0" w:after="60" w:line="300" w:lineRule="auto"/>
      </w:pPr>
      <w:r>
        <w:rPr>
          <w:rFonts w:ascii="Times New Roman" w:hAnsi="Times New Roman" w:eastAsia="宋体"/>
          <w:b w:val="0"/>
          <w:sz w:val="21"/>
        </w:rPr>
        <w:t>7.2 经同意分包的，乙方仍对分包部分向甲方承担全部责任，不得以分包商原因为由免除或减轻责任。</w:t>
      </w:r>
    </w:p>
    <w:p>
      <w:pPr>
        <w:keepNext w:val="0"/>
        <w:spacing w:before="0" w:after="60" w:line="300" w:lineRule="auto"/>
      </w:pPr>
      <w:r>
        <w:rPr>
          <w:rFonts w:ascii="Times New Roman" w:hAnsi="Times New Roman" w:eastAsia="宋体"/>
          <w:b w:val="0"/>
          <w:sz w:val="21"/>
        </w:rPr>
        <w:t>7.3 乙方应确保分包商受到不低于本合同的保密、知识产权、数据安全和合规义务约束，并向甲方提供分包商名称、分包范围和责任承接说明。</w:t>
      </w:r>
    </w:p>
    <w:p>
      <w:pPr>
        <w:keepNext w:val="0"/>
        <w:spacing w:before="0" w:after="60" w:line="300" w:lineRule="auto"/>
      </w:pPr>
      <w:r>
        <w:rPr>
          <w:rFonts w:ascii="Times New Roman" w:hAnsi="Times New Roman" w:eastAsia="宋体"/>
          <w:b w:val="0"/>
          <w:sz w:val="21"/>
        </w:rPr>
        <w:t>7.4 交付物包含第三方材料、开源软件、第三方数据或外部服务的，乙方应在工作说明书中列明名称、版本、许可证、使用范围和限制，并确保甲方按约定使用不侵犯第三方权利。</w:t>
      </w:r>
    </w:p>
    <w:p>
      <w:pPr>
        <w:keepNext w:val="0"/>
        <w:spacing w:before="0" w:after="60" w:line="300" w:lineRule="auto"/>
      </w:pPr>
      <w:r>
        <w:rPr>
          <w:rFonts w:ascii="Times New Roman" w:hAnsi="Times New Roman" w:eastAsia="宋体"/>
          <w:b w:val="0"/>
          <w:sz w:val="21"/>
        </w:rPr>
        <w:t>7.5 未列入工作说明书的第三方材料，不得视为已获甲方批准；乙方应自行取得授权并承担相应责任。涉及开源许可证义务、软件许可或源代码交付的，转知识产权/开源专项审查。</w:t>
      </w:r>
    </w:p>
    <w:p>
      <w:pPr>
        <w:pStyle w:val="Heading2"/>
      </w:pPr>
      <w:r>
        <w:t>第八条  知识产权</w:t>
      </w:r>
    </w:p>
    <w:p>
      <w:pPr>
        <w:keepNext w:val="0"/>
        <w:spacing w:before="0" w:after="60" w:line="300" w:lineRule="auto"/>
      </w:pPr>
      <w:r>
        <w:rPr>
          <w:rFonts w:ascii="Times New Roman" w:hAnsi="Times New Roman" w:eastAsia="宋体"/>
          <w:b w:val="0"/>
          <w:sz w:val="21"/>
        </w:rPr>
        <w:t>8.1 双方各自在合同签署前已拥有的知识产权、工具、方法、模板、软件和数据（“背景知识产权”）仍归各自所有，不因本合同履行而转移。</w:t>
      </w:r>
    </w:p>
    <w:p>
      <w:pPr>
        <w:keepNext w:val="0"/>
        <w:spacing w:before="0" w:after="60" w:line="300" w:lineRule="auto"/>
      </w:pPr>
      <w:r>
        <w:rPr>
          <w:rFonts w:ascii="Times New Roman" w:hAnsi="Times New Roman" w:eastAsia="宋体"/>
          <w:b w:val="0"/>
          <w:sz w:val="21"/>
        </w:rPr>
        <w:t>8.2 乙方专门为本项目开发、且能够与其通用工具或背景知识产权合理分离的交付成果（“定制成果”），在甲方付清相应价款后，其著作权财产权归甲方所有；乙方保留署名权等人身权利，并可在不披露甲方保密信息的前提下合理引用项目经验。不能合理分离的部分不纳入转让范围，按第 8.3 条处理。</w:t>
      </w:r>
    </w:p>
    <w:p>
      <w:pPr>
        <w:keepNext w:val="0"/>
        <w:spacing w:before="0" w:after="60" w:line="300" w:lineRule="auto"/>
      </w:pPr>
      <w:r>
        <w:rPr>
          <w:rFonts w:ascii="Times New Roman" w:hAnsi="Times New Roman" w:eastAsia="宋体"/>
          <w:b w:val="0"/>
          <w:sz w:val="21"/>
        </w:rPr>
        <w:t>8.3 乙方为交付成果使用的通用工具、模板、框架、软件或其他背景知识产权，不随定制成果转移；乙方授予甲方为使用、运营和维护定制成果所必需的、非独占、不可转让、永久且免许可费的许可。该许可仅限于甲方内部使用及为甲方业务必要的委托运营；涉及源代码、再许可或对外分发的，应在工作说明书中单独约定。</w:t>
      </w:r>
    </w:p>
    <w:p>
      <w:pPr>
        <w:keepNext w:val="0"/>
        <w:spacing w:before="0" w:after="60" w:line="300" w:lineRule="auto"/>
      </w:pPr>
      <w:r>
        <w:rPr>
          <w:rFonts w:ascii="Times New Roman" w:hAnsi="Times New Roman" w:eastAsia="宋体"/>
          <w:b w:val="0"/>
          <w:sz w:val="21"/>
        </w:rPr>
        <w:t>8.4 交付成果包含第三方材料、开源软件或第三方数据的，乙方应事先书面列明名称、版本、许可证和限制，并确保甲方按约定使用不侵犯第三方权利；未列明的，由乙方负责取得授权并承担责任。</w:t>
      </w:r>
    </w:p>
    <w:p>
      <w:pPr>
        <w:keepNext w:val="0"/>
        <w:spacing w:before="0" w:after="60" w:line="300" w:lineRule="auto"/>
      </w:pPr>
      <w:r>
        <w:rPr>
          <w:rFonts w:ascii="Times New Roman" w:hAnsi="Times New Roman" w:eastAsia="宋体"/>
          <w:b w:val="0"/>
          <w:sz w:val="21"/>
        </w:rPr>
        <w:t>8.5 本条不构成乙方转让其背景知识产权，也不构成甲方许可乙方使用甲方背景知识产权，除非双方另有书面约定。乙方向甲方转让定制成果时，应同时提供为使用该成果所必需的背景知识产权许可；该许可的范围、期限和费用应在工作说明书中写清。</w:t>
      </w:r>
    </w:p>
    <w:p>
      <w:pPr>
        <w:keepNext w:val="0"/>
        <w:spacing w:before="0" w:after="60" w:line="300" w:lineRule="auto"/>
      </w:pPr>
      <w:r>
        <w:rPr>
          <w:rFonts w:ascii="Times New Roman" w:hAnsi="Times New Roman" w:eastAsia="宋体"/>
          <w:b w:val="0"/>
          <w:sz w:val="21"/>
        </w:rPr>
        <w:t>8.6 著作权中的署名权、修改权、保护作品完整权等人身权利不随财产权转让；双方应约定合理的署名方式和修改规则。</w:t>
      </w:r>
    </w:p>
    <w:p>
      <w:pPr>
        <w:keepNext w:val="0"/>
        <w:spacing w:before="0" w:after="60" w:line="300" w:lineRule="auto"/>
      </w:pPr>
      <w:r>
        <w:rPr>
          <w:rFonts w:ascii="Times New Roman" w:hAnsi="Times New Roman" w:eastAsia="宋体"/>
          <w:b w:val="0"/>
          <w:sz w:val="21"/>
        </w:rPr>
        <w:t>8.7 合同解除或终止时，甲方已支付相应价款的定制成果，其财产权归属不因合同终止而当然回退；双方应就未付款部分、过渡使用和许可终止另行结算。</w:t>
      </w:r>
    </w:p>
    <w:p>
      <w:pPr>
        <w:keepNext w:val="0"/>
        <w:spacing w:before="0" w:after="60" w:line="300" w:lineRule="auto"/>
      </w:pPr>
      <w:r>
        <w:rPr>
          <w:rFonts w:ascii="Times New Roman" w:hAnsi="Times New Roman" w:eastAsia="宋体"/>
          <w:b w:val="0"/>
          <w:sz w:val="21"/>
        </w:rPr>
        <w:t>8.8 乙方保证其交付成果不侵犯第三方知识产权；因第三方主张权利导致甲方损失的，乙方应负责处理并赔偿，但甲方应提供合理协助并采取减损措施。</w:t>
      </w:r>
    </w:p>
    <w:p>
      <w:pPr>
        <w:pStyle w:val="Heading2"/>
      </w:pPr>
      <w:r>
        <w:t>第九条  保密与数据</w:t>
      </w:r>
    </w:p>
    <w:p>
      <w:pPr>
        <w:keepNext w:val="0"/>
        <w:spacing w:before="0" w:after="60" w:line="300" w:lineRule="auto"/>
      </w:pPr>
      <w:r>
        <w:rPr>
          <w:rFonts w:ascii="Times New Roman" w:hAnsi="Times New Roman" w:eastAsia="宋体"/>
          <w:b w:val="0"/>
          <w:sz w:val="21"/>
        </w:rPr>
        <w:t>9.1 双方对因本合同知悉的对方非公开信息承担保密义务，保密期限自信息披露之日起持续三（3）年；构成商业秘密的，按法定条件持续保护。保密义务不因合同终止而终止。</w:t>
      </w:r>
    </w:p>
    <w:p>
      <w:pPr>
        <w:keepNext w:val="0"/>
        <w:spacing w:before="0" w:after="60" w:line="300" w:lineRule="auto"/>
      </w:pPr>
      <w:r>
        <w:rPr>
          <w:rFonts w:ascii="Times New Roman" w:hAnsi="Times New Roman" w:eastAsia="宋体"/>
          <w:b w:val="0"/>
          <w:sz w:val="21"/>
        </w:rPr>
        <w:t>9.2 保密信息不包括已经公开、接收方合法知悉、从有权第三方合法取得或独立开发的信息；主张例外的一方应提供合理证据。</w:t>
      </w:r>
    </w:p>
    <w:p>
      <w:pPr>
        <w:keepNext w:val="0"/>
        <w:spacing w:before="0" w:after="60" w:line="300" w:lineRule="auto"/>
      </w:pPr>
      <w:r>
        <w:rPr>
          <w:rFonts w:ascii="Times New Roman" w:hAnsi="Times New Roman" w:eastAsia="宋体"/>
          <w:b w:val="0"/>
          <w:sz w:val="21"/>
        </w:rPr>
        <w:t>9.3 接收方仅可向因履行合同确有必要知悉的人员披露，并确保其受到不低于本合同的保密义务约束。</w:t>
      </w:r>
    </w:p>
    <w:p>
      <w:pPr>
        <w:keepNext w:val="0"/>
        <w:spacing w:before="0" w:after="60" w:line="300" w:lineRule="auto"/>
      </w:pPr>
      <w:r>
        <w:rPr>
          <w:rFonts w:ascii="Times New Roman" w:hAnsi="Times New Roman" w:eastAsia="宋体"/>
          <w:b w:val="0"/>
          <w:sz w:val="21"/>
        </w:rPr>
        <w:t>9.4 本合同不构成个人信息处理授权。涉及委托处理个人信息、处理敏感个人信息、向境外提供个人信息或其他需要事前影响评估的情形，双方应另行签署数据处理协议，完成适用的影响评估和合规程序；未完成前不得开始相关处理。</w:t>
      </w:r>
    </w:p>
    <w:p>
      <w:pPr>
        <w:keepNext w:val="0"/>
        <w:spacing w:before="0" w:after="60" w:line="300" w:lineRule="auto"/>
      </w:pPr>
      <w:r>
        <w:rPr>
          <w:rFonts w:ascii="Times New Roman" w:hAnsi="Times New Roman" w:eastAsia="宋体"/>
          <w:b w:val="0"/>
          <w:sz w:val="21"/>
        </w:rPr>
        <w:t>9.5 发生保密信息或个人信息泄露、丢失、篡改的，发现方应立即采取补救措施，并在二十四（24）小时内书面通知对方，说明范围、原因、已采取措施和后续计划；涉及个人信息泄露的，还应按适用法律履行通知和报告义务。</w:t>
      </w:r>
    </w:p>
    <w:p>
      <w:pPr>
        <w:keepNext w:val="0"/>
        <w:spacing w:before="0" w:after="60" w:line="300" w:lineRule="auto"/>
      </w:pPr>
      <w:r>
        <w:rPr>
          <w:rFonts w:ascii="Times New Roman" w:hAnsi="Times New Roman" w:eastAsia="宋体"/>
          <w:b w:val="0"/>
          <w:sz w:val="21"/>
        </w:rPr>
        <w:t>9.6 合同终止或数据目的完成后，乙方应按甲方要求返还或删除甲方数据，删除其控制的系统和可合理访问的备份，并提交书面证明；依法必须留存的，应隔离保存并继续保密。</w:t>
      </w:r>
    </w:p>
    <w:p>
      <w:pPr>
        <w:pStyle w:val="Heading2"/>
      </w:pPr>
      <w:r>
        <w:t>第十条  陈述、保证与合规</w:t>
      </w:r>
    </w:p>
    <w:p>
      <w:pPr>
        <w:keepNext w:val="0"/>
        <w:spacing w:before="0" w:after="60" w:line="300" w:lineRule="auto"/>
      </w:pPr>
      <w:r>
        <w:rPr>
          <w:rFonts w:ascii="Times New Roman" w:hAnsi="Times New Roman" w:eastAsia="宋体"/>
          <w:b w:val="0"/>
          <w:sz w:val="21"/>
        </w:rPr>
        <w:t>10.1 各方陈述并保证：其依法设立并有效存续，签署和履行本合同已取得必要授权；签署人具有代表其签署本合同的权限。</w:t>
      </w:r>
    </w:p>
    <w:p>
      <w:pPr>
        <w:keepNext w:val="0"/>
        <w:spacing w:before="0" w:after="60" w:line="300" w:lineRule="auto"/>
      </w:pPr>
      <w:r>
        <w:rPr>
          <w:rFonts w:ascii="Times New Roman" w:hAnsi="Times New Roman" w:eastAsia="宋体"/>
          <w:b w:val="0"/>
          <w:sz w:val="21"/>
        </w:rPr>
        <w:t>10.2 乙方保证其具备履行合同所需的人员、资质、经验和资源，服务将按行业合理标准和水准提供，交付物与工作说明书一致。</w:t>
      </w:r>
    </w:p>
    <w:p>
      <w:pPr>
        <w:keepNext w:val="0"/>
        <w:spacing w:before="0" w:after="60" w:line="300" w:lineRule="auto"/>
      </w:pPr>
      <w:r>
        <w:rPr>
          <w:rFonts w:ascii="Times New Roman" w:hAnsi="Times New Roman" w:eastAsia="宋体"/>
          <w:b w:val="0"/>
          <w:sz w:val="21"/>
        </w:rPr>
        <w:t>10.3 各方应遵守适用的反腐败、反商业贿赂、出口管制、经济制裁、数据保护和其他强制性规定；不得为获取交易机会向对方人员或第三方提供不正当利益。</w:t>
      </w:r>
    </w:p>
    <w:p>
      <w:pPr>
        <w:keepNext w:val="0"/>
        <w:spacing w:before="0" w:after="60" w:line="300" w:lineRule="auto"/>
      </w:pPr>
      <w:r>
        <w:rPr>
          <w:rFonts w:ascii="Times New Roman" w:hAnsi="Times New Roman" w:eastAsia="宋体"/>
          <w:b w:val="0"/>
          <w:sz w:val="21"/>
        </w:rPr>
        <w:t>10.4 乙方保证其提供的服务、交付物和第三方材料不侵犯第三方知识产权、商业秘密或其他权利；涉及开源软件的，应遵守相应许可证义务。</w:t>
      </w:r>
    </w:p>
    <w:p>
      <w:pPr>
        <w:pStyle w:val="Heading2"/>
      </w:pPr>
      <w:r>
        <w:t>第十一条  违约责任与责任限制</w:t>
      </w:r>
    </w:p>
    <w:p>
      <w:pPr>
        <w:keepNext w:val="0"/>
        <w:spacing w:before="0" w:after="60" w:line="300" w:lineRule="auto"/>
      </w:pPr>
      <w:r>
        <w:rPr>
          <w:rFonts w:ascii="Times New Roman" w:hAnsi="Times New Roman" w:eastAsia="宋体"/>
          <w:b w:val="0"/>
          <w:sz w:val="21"/>
        </w:rPr>
        <w:t>11.1 一方违反本合同，应赔偿守约方因此遭受的直接损失，包括合理的律师费、诉讼费、保全费和为减轻损失支出的费用。</w:t>
      </w:r>
    </w:p>
    <w:p>
      <w:pPr>
        <w:keepNext w:val="0"/>
        <w:spacing w:before="0" w:after="60" w:line="300" w:lineRule="auto"/>
      </w:pPr>
      <w:r>
        <w:rPr>
          <w:rFonts w:ascii="Times New Roman" w:hAnsi="Times New Roman" w:eastAsia="宋体"/>
          <w:b w:val="0"/>
          <w:sz w:val="21"/>
        </w:rPr>
        <w:t>11.2 除故意或重大过失、侵犯知识产权、违反保密义务、违反数据保护义务、造成人身损害或违反法律强制性规定外，任何一方不承担间接损失、附带损失、惩罚性赔偿或可得利益损失。</w:t>
      </w:r>
    </w:p>
    <w:p>
      <w:pPr>
        <w:keepNext w:val="0"/>
        <w:spacing w:before="0" w:after="60" w:line="300" w:lineRule="auto"/>
      </w:pPr>
      <w:r>
        <w:t>11.3 乙方在本合同项下的累计赔偿责任以本合同含税总价为限；但故意或重大过失、侵犯知识产权、违反保密或数据保护义务、人身损害及法律强制规定的责任不适用该上限。甲方逾期付款的累计违约金以逾期金额的百分之五为限。</w:t>
      </w:r>
    </w:p>
    <w:p>
      <w:pPr>
        <w:keepNext w:val="0"/>
        <w:spacing w:before="0" w:after="60" w:line="300" w:lineRule="auto"/>
      </w:pPr>
      <w:r>
        <w:rPr>
          <w:rFonts w:ascii="Times New Roman" w:hAnsi="Times New Roman" w:eastAsia="宋体"/>
          <w:b w:val="0"/>
          <w:sz w:val="21"/>
        </w:rPr>
        <w:t>11.4 乙方逾期交付的，每逾期一日按合同总价的百分之零点零五支付违约金，累计不超过合同总价的百分之十；逾期超过三十（30）日，甲方有权解除合同。</w:t>
      </w:r>
    </w:p>
    <w:p>
      <w:pPr>
        <w:keepNext w:val="0"/>
        <w:spacing w:before="0" w:after="60" w:line="300" w:lineRule="auto"/>
      </w:pPr>
      <w:r>
        <w:rPr>
          <w:rFonts w:ascii="Times New Roman" w:hAnsi="Times New Roman" w:eastAsia="宋体"/>
          <w:b w:val="0"/>
          <w:sz w:val="21"/>
        </w:rPr>
        <w:t>11.5 甲方逾期付款的，每逾期一日按逾期金额的百分之零点零五支付违约金，累计不超过逾期金额的百分之五；因乙方未提交完整付款材料、存在争议或不可归责于甲方的原因导致的逾期除外。</w:t>
      </w:r>
    </w:p>
    <w:p>
      <w:pPr>
        <w:keepNext w:val="0"/>
        <w:spacing w:before="0" w:after="60" w:line="300" w:lineRule="auto"/>
      </w:pPr>
      <w:r>
        <w:rPr>
          <w:rFonts w:ascii="Times New Roman" w:hAnsi="Times New Roman" w:eastAsia="宋体"/>
          <w:b w:val="0"/>
          <w:sz w:val="21"/>
        </w:rPr>
        <w:t>11.6 违约金与损失赔偿的关系：守约方可以主张违约金；违约金不足以弥补实际损失的，可以就差额部分主张赔偿，但不得就同一损失获得重复补偿。违约方已支付的违约金应在最终赔偿额中抵扣。</w:t>
      </w:r>
    </w:p>
    <w:p>
      <w:pPr>
        <w:keepNext w:val="0"/>
        <w:spacing w:before="0" w:after="60" w:line="300" w:lineRule="auto"/>
      </w:pPr>
      <w:r>
        <w:rPr>
          <w:rFonts w:ascii="Times New Roman" w:hAnsi="Times New Roman" w:eastAsia="宋体"/>
          <w:b w:val="0"/>
          <w:sz w:val="21"/>
        </w:rPr>
        <w:t>11.7 任何一方因第三方原因造成违约的，仍应向对方承担违约责任；其与第三方之间的纠纷另行处理。</w:t>
      </w:r>
    </w:p>
    <w:p>
      <w:pPr>
        <w:keepNext w:val="0"/>
        <w:spacing w:before="0" w:after="60" w:line="300" w:lineRule="auto"/>
      </w:pPr>
      <w:r>
        <w:rPr>
          <w:rFonts w:ascii="Times New Roman" w:hAnsi="Times New Roman" w:eastAsia="宋体"/>
          <w:b w:val="0"/>
          <w:sz w:val="21"/>
        </w:rPr>
        <w:t>11.8 一方违约后，对方应采取适当措施防止损失扩大；未采取适当措施致使损失扩大的，不得就扩大的损失请求赔偿。防止损失扩大支出的合理费用由违约方负担。</w:t>
      </w:r>
    </w:p>
    <w:p>
      <w:pPr>
        <w:keepNext w:val="0"/>
        <w:spacing w:before="0" w:after="60" w:line="300" w:lineRule="auto"/>
      </w:pPr>
      <w:r>
        <w:rPr>
          <w:rFonts w:ascii="Times New Roman" w:hAnsi="Times New Roman" w:eastAsia="宋体"/>
          <w:b w:val="0"/>
          <w:sz w:val="21"/>
        </w:rPr>
        <w:t>11.9 本合同的责任限制不排除《民法典》第 506 条规定的无效情形，即造成对方人身损害，以及因故意或者重大过失造成对方财产损失的免责条款无效；也不排除法律强制规定的其他责任。</w:t>
      </w:r>
    </w:p>
    <w:p>
      <w:pPr>
        <w:pStyle w:val="Heading2"/>
      </w:pPr>
      <w:r>
        <w:t>第十二条  期限、解除与退出</w:t>
      </w:r>
    </w:p>
    <w:p>
      <w:pPr>
        <w:keepNext w:val="0"/>
        <w:spacing w:before="0" w:after="60" w:line="300" w:lineRule="auto"/>
      </w:pPr>
      <w:r>
        <w:rPr>
          <w:rFonts w:ascii="Times New Roman" w:hAnsi="Times New Roman" w:eastAsia="宋体"/>
          <w:b w:val="0"/>
          <w:sz w:val="21"/>
        </w:rPr>
        <w:t>12.1 本合同自双方签署之日起生效，服务期至【填写日期】。服务期届满不影响保密、知识产权、责任和争议解决条款的效力。</w:t>
      </w:r>
    </w:p>
    <w:p>
      <w:pPr>
        <w:keepNext w:val="0"/>
        <w:spacing w:before="0" w:after="60" w:line="300" w:lineRule="auto"/>
      </w:pPr>
      <w:r>
        <w:rPr>
          <w:rFonts w:ascii="Times New Roman" w:hAnsi="Times New Roman" w:eastAsia="宋体"/>
          <w:b w:val="0"/>
          <w:sz w:val="21"/>
        </w:rPr>
        <w:t>12.2 一方严重违反本合同，经守约方书面通知后十（10）个工作日内未纠正的，守约方有权解除合同。</w:t>
      </w:r>
    </w:p>
    <w:p>
      <w:pPr>
        <w:keepNext w:val="0"/>
        <w:spacing w:before="0" w:after="60" w:line="300" w:lineRule="auto"/>
      </w:pPr>
      <w:r>
        <w:rPr>
          <w:rFonts w:ascii="Times New Roman" w:hAnsi="Times New Roman" w:eastAsia="宋体"/>
          <w:b w:val="0"/>
          <w:sz w:val="21"/>
        </w:rPr>
        <w:t>12.3 一方进入破产、清算、被吊销营业执照、丧失履约能力，或存在欺诈、重大失信行为的，对方有权立即解除合同。</w:t>
      </w:r>
    </w:p>
    <w:p>
      <w:pPr>
        <w:keepNext w:val="0"/>
        <w:spacing w:before="0" w:after="60" w:line="300" w:lineRule="auto"/>
      </w:pPr>
      <w:r>
        <w:rPr>
          <w:rFonts w:ascii="Times New Roman" w:hAnsi="Times New Roman" w:eastAsia="宋体"/>
          <w:b w:val="0"/>
          <w:sz w:val="21"/>
        </w:rPr>
        <w:t>12.4 甲方可提前三十（30）日书面通知乙方解除合同，但应支付已验收成果对应的价款及乙方为履行合同已合理发生且无法回收的直接费用；乙方应提交费用明细和证明。</w:t>
      </w:r>
    </w:p>
    <w:p>
      <w:pPr>
        <w:keepNext w:val="0"/>
        <w:spacing w:before="0" w:after="60" w:line="300" w:lineRule="auto"/>
      </w:pPr>
      <w:r>
        <w:rPr>
          <w:rFonts w:ascii="Times New Roman" w:hAnsi="Times New Roman" w:eastAsia="宋体"/>
          <w:b w:val="0"/>
          <w:sz w:val="21"/>
        </w:rPr>
        <w:t>12.5 合同解除或终止后，乙方应在十五（15）个工作日内交付已完成的成果、资料和甲方数据，提供不少于三十（30）日的过渡协助，并返还或销毁甲方保密信息。</w:t>
      </w:r>
    </w:p>
    <w:p>
      <w:pPr>
        <w:keepNext w:val="0"/>
        <w:spacing w:before="0" w:after="60" w:line="300" w:lineRule="auto"/>
      </w:pPr>
      <w:r>
        <w:rPr>
          <w:rFonts w:ascii="Times New Roman" w:hAnsi="Times New Roman" w:eastAsia="宋体"/>
          <w:b w:val="0"/>
          <w:sz w:val="21"/>
        </w:rPr>
        <w:t>12.6 因乙方违约解除的，甲方有权要求乙方退还已支付但未对应合格成果的价款，并主张违约责任；因甲方原因解除的，双方应就已完成部分、已发生费用和过渡协助合理结算。</w:t>
      </w:r>
    </w:p>
    <w:p>
      <w:pPr>
        <w:keepNext w:val="0"/>
        <w:spacing w:before="0" w:after="60" w:line="300" w:lineRule="auto"/>
      </w:pPr>
      <w:r>
        <w:rPr>
          <w:rFonts w:ascii="Times New Roman" w:hAnsi="Times New Roman" w:eastAsia="宋体"/>
          <w:b w:val="0"/>
          <w:sz w:val="21"/>
        </w:rPr>
        <w:t>12.7 合同解除不影响结算、清理、保密、知识产权、责任和争议解决条款的效力。</w:t>
      </w:r>
    </w:p>
    <w:p>
      <w:pPr>
        <w:pStyle w:val="Heading2"/>
      </w:pPr>
      <w:r>
        <w:t>第十三条  不可抗力</w:t>
      </w:r>
    </w:p>
    <w:p>
      <w:pPr>
        <w:keepNext w:val="0"/>
        <w:spacing w:before="0" w:after="60" w:line="300" w:lineRule="auto"/>
      </w:pPr>
      <w:r>
        <w:rPr>
          <w:rFonts w:ascii="Times New Roman" w:hAnsi="Times New Roman" w:eastAsia="宋体"/>
          <w:b w:val="0"/>
          <w:sz w:val="21"/>
        </w:rPr>
        <w:t>13.1 因不可抗力致使不能履行或不能按期履行合同的，受影响方应在合理期限内书面通知对方，说明事件、影响和预计持续时间，并在合理范围内提供证明。</w:t>
      </w:r>
    </w:p>
    <w:p>
      <w:pPr>
        <w:keepNext w:val="0"/>
        <w:spacing w:before="0" w:after="60" w:line="300" w:lineRule="auto"/>
      </w:pPr>
      <w:r>
        <w:rPr>
          <w:rFonts w:ascii="Times New Roman" w:hAnsi="Times New Roman" w:eastAsia="宋体"/>
          <w:b w:val="0"/>
          <w:sz w:val="21"/>
        </w:rPr>
        <w:t>13.2 不可抗力持续超过三十（30）日，双方应协商调整履行或解除合同；已经履行部分按实际履行情况结算。</w:t>
      </w:r>
    </w:p>
    <w:p>
      <w:pPr>
        <w:keepNext w:val="0"/>
        <w:spacing w:before="0" w:after="60" w:line="300" w:lineRule="auto"/>
      </w:pPr>
      <w:r>
        <w:rPr>
          <w:rFonts w:ascii="Times New Roman" w:hAnsi="Times New Roman" w:eastAsia="宋体"/>
          <w:b w:val="0"/>
          <w:sz w:val="21"/>
        </w:rPr>
        <w:t>13.3 不可抗力不影响一方在事件发生前已经产生的违约责任，也不免除受影响方采取减损措施的合理义务。</w:t>
      </w:r>
    </w:p>
    <w:p>
      <w:pPr>
        <w:pStyle w:val="Heading2"/>
      </w:pPr>
      <w:r>
        <w:t>第十四条  通知</w:t>
      </w:r>
    </w:p>
    <w:p>
      <w:pPr>
        <w:keepNext w:val="0"/>
        <w:spacing w:before="0" w:after="60" w:line="300" w:lineRule="auto"/>
      </w:pPr>
      <w:r>
        <w:rPr>
          <w:rFonts w:ascii="Times New Roman" w:hAnsi="Times New Roman" w:eastAsia="宋体"/>
          <w:b w:val="0"/>
          <w:sz w:val="21"/>
        </w:rPr>
        <w:t>14.1 本合同项下通知应以书面形式发送至下列地址或双方另行书面指定的地址：</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3137"/>
        <w:gridCol w:w="3137"/>
        <w:gridCol w:w="3137"/>
      </w:tblGrid>
      <w:tr>
        <w:trPr>
          <w:tblHeader w:val="true"/>
        </w:trPr>
        <w:tc>
          <w:tcPr>
            <w:tcW w:type="dxa" w:w="2268"/>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通知事项</w:t>
            </w:r>
          </w:p>
        </w:tc>
        <w:tc>
          <w:tcPr>
            <w:tcW w:type="dxa" w:w="3175"/>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甲方</w:t>
            </w:r>
          </w:p>
        </w:tc>
        <w:tc>
          <w:tcPr>
            <w:tcW w:type="dxa" w:w="3175"/>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乙方</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8"/>
              </w:rPr>
              <w:t>收件部门/岗位</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8"/>
              </w:rPr>
              <w:t>电子邮箱</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8"/>
              </w:rPr>
              <w:t>邮寄地址</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8"/>
              </w:rPr>
              <w:t>联系人</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bl>
    <w:p>
      <w:pPr>
        <w:spacing w:after="60" w:line="300" w:lineRule="auto"/>
      </w:pPr>
    </w:p>
    <w:p>
      <w:pPr>
        <w:keepNext w:val="0"/>
        <w:spacing w:before="0" w:after="60" w:line="300" w:lineRule="auto"/>
      </w:pPr>
      <w:r>
        <w:rPr>
          <w:rFonts w:ascii="Times New Roman" w:hAnsi="Times New Roman" w:eastAsia="宋体"/>
          <w:b w:val="0"/>
          <w:sz w:val="21"/>
        </w:rPr>
        <w:t>14.2 通知在下列时间视为送达：（a）专人送达时签收；（b）快递送达时签收或拒收之日；（c）电子邮件进入指定系统时。法律禁止电子送达或双方另有约定的除外。</w:t>
      </w:r>
    </w:p>
    <w:p>
      <w:pPr>
        <w:keepNext w:val="0"/>
        <w:spacing w:before="0" w:after="60" w:line="300" w:lineRule="auto"/>
      </w:pPr>
      <w:r>
        <w:rPr>
          <w:rFonts w:ascii="Times New Roman" w:hAnsi="Times New Roman" w:eastAsia="宋体"/>
          <w:b w:val="0"/>
          <w:sz w:val="21"/>
        </w:rPr>
        <w:t>14.3 一方变更通知地址，应提前五（5）个工作日书面通知对方；未通知导致送达失败的，由变更方承担相应后果。</w:t>
      </w:r>
    </w:p>
    <w:p>
      <w:pPr>
        <w:pStyle w:val="Heading2"/>
      </w:pPr>
      <w:r>
        <w:t>第十五条  适用法律与争议解决</w:t>
      </w:r>
    </w:p>
    <w:p>
      <w:pPr>
        <w:keepNext w:val="0"/>
        <w:spacing w:before="0" w:after="60" w:line="300" w:lineRule="auto"/>
      </w:pPr>
      <w:r>
        <w:rPr>
          <w:rFonts w:ascii="Times New Roman" w:hAnsi="Times New Roman" w:eastAsia="宋体"/>
          <w:b w:val="0"/>
          <w:sz w:val="21"/>
        </w:rPr>
        <w:t>15.1 本合同的订立、效力、解释、履行和争议解决适用中华人民共和国法律（为本合同之目的，不包括香港特别行政区、澳门特别行政区和台湾地区法律）。</w:t>
      </w:r>
    </w:p>
    <w:p>
      <w:pPr>
        <w:keepNext w:val="0"/>
        <w:spacing w:before="0" w:after="60" w:line="300" w:lineRule="auto"/>
      </w:pPr>
      <w:r>
        <w:rPr>
          <w:rFonts w:ascii="Times New Roman" w:hAnsi="Times New Roman" w:eastAsia="宋体"/>
          <w:b w:val="0"/>
          <w:sz w:val="21"/>
        </w:rPr>
        <w:t>15.2 因本合同引起的或与本合同有关的争议，双方应先行友好协商；协商不成的，提交【填写甲方所在地/乙方所在地/合同履行地】有管辖权的人民法院诉讼解决。</w:t>
      </w:r>
    </w:p>
    <w:p>
      <w:pPr>
        <w:keepNext w:val="0"/>
        <w:spacing w:before="0" w:after="60" w:line="300" w:lineRule="auto"/>
      </w:pPr>
      <w:r>
        <w:rPr>
          <w:rFonts w:ascii="Times New Roman" w:hAnsi="Times New Roman" w:eastAsia="宋体"/>
          <w:b w:val="0"/>
          <w:sz w:val="21"/>
        </w:rPr>
        <w:t>15.3 双方确认所选地点与本合同争议具有实际联系；本条不排除法律规定的级别管辖和专属管辖。涉及境外主体、境外法院或仲裁的，不属于本模板覆盖范围，应转专项审查。</w:t>
      </w:r>
    </w:p>
    <w:p>
      <w:pPr>
        <w:pStyle w:val="Heading2"/>
      </w:pPr>
      <w:r>
        <w:t>第十六条  一般条款</w:t>
      </w:r>
    </w:p>
    <w:p>
      <w:pPr>
        <w:keepNext w:val="0"/>
        <w:spacing w:before="0" w:after="60" w:line="300" w:lineRule="auto"/>
      </w:pPr>
      <w:r>
        <w:rPr>
          <w:rFonts w:ascii="Times New Roman" w:hAnsi="Times New Roman" w:eastAsia="宋体"/>
          <w:b w:val="0"/>
          <w:sz w:val="21"/>
        </w:rPr>
        <w:t>16.1 本合同构成双方就服务采购事项的完整约定，取代此前就同一事项作出的口头或书面陈述；但双方另有明确书面约定的除外。</w:t>
      </w:r>
    </w:p>
    <w:p>
      <w:pPr>
        <w:keepNext w:val="0"/>
        <w:spacing w:before="0" w:after="60" w:line="300" w:lineRule="auto"/>
      </w:pPr>
      <w:r>
        <w:rPr>
          <w:rFonts w:ascii="Times New Roman" w:hAnsi="Times New Roman" w:eastAsia="宋体"/>
          <w:b w:val="0"/>
          <w:sz w:val="21"/>
        </w:rPr>
        <w:t>16.2 对本合同的任何修改、补充，应由双方授权代表签署书面文件后生效。邮件、会议纪要、即时通讯记录不当然构成修改，除非双方随后签署书面文件确认。</w:t>
      </w:r>
    </w:p>
    <w:p>
      <w:pPr>
        <w:keepNext w:val="0"/>
        <w:spacing w:before="0" w:after="60" w:line="300" w:lineRule="auto"/>
      </w:pPr>
      <w:r>
        <w:rPr>
          <w:rFonts w:ascii="Times New Roman" w:hAnsi="Times New Roman" w:eastAsia="宋体"/>
          <w:b w:val="0"/>
          <w:sz w:val="21"/>
        </w:rPr>
        <w:t>16.3 本合同任何条款被认定无效或不可执行，不影响其他条款的效力；双方应以最接近原条款目的的有效条款替代。</w:t>
      </w:r>
    </w:p>
    <w:p>
      <w:pPr>
        <w:keepNext w:val="0"/>
        <w:spacing w:before="0" w:after="60" w:line="300" w:lineRule="auto"/>
      </w:pPr>
      <w:r>
        <w:rPr>
          <w:rFonts w:ascii="Times New Roman" w:hAnsi="Times New Roman" w:eastAsia="宋体"/>
          <w:b w:val="0"/>
          <w:sz w:val="21"/>
        </w:rPr>
        <w:t>16.4 本合同一式两份，双方各执一份，具有同等效力。默认采用纸质签署；如采用可靠电子签名，应保存可验证的原始文件、身份与授权、完整性和签署过程证据。</w:t>
      </w:r>
    </w:p>
    <w:p>
      <w:pPr>
        <w:keepNext w:val="0"/>
        <w:spacing w:before="0" w:after="60" w:line="300" w:lineRule="auto"/>
      </w:pPr>
      <w:r>
        <w:rPr>
          <w:rFonts w:ascii="Times New Roman" w:hAnsi="Times New Roman" w:eastAsia="宋体"/>
          <w:b w:val="0"/>
          <w:sz w:val="21"/>
        </w:rPr>
        <w:t>16.5 本合同以中文书写。如存在其他语言译本，仅供理解，中文版本为准，双方另有明确约定的除外。</w:t>
      </w:r>
    </w:p>
    <w:p>
      <w:pPr>
        <w:keepNext w:val="0"/>
        <w:spacing w:before="0" w:after="60" w:line="300" w:lineRule="auto"/>
      </w:pPr>
      <w:r>
        <w:rPr>
          <w:rFonts w:ascii="Times New Roman" w:hAnsi="Times New Roman" w:eastAsia="宋体"/>
          <w:b w:val="0"/>
          <w:sz w:val="21"/>
        </w:rPr>
        <w:t>16.6 双方确认已阅读并理解本合同全部条款，特别是第 4、5、6、8、11、12、15 条；双方有机会就上述条款提问并获得说明。</w:t>
      </w:r>
    </w:p>
    <w:p>
      <w:pPr>
        <w:spacing w:after="60" w:line="300" w:lineRule="auto"/>
      </w:pPr>
      <w:r>
        <w:br w:type="page"/>
      </w:r>
    </w:p>
    <w:p>
      <w:pPr>
        <w:pStyle w:val="Heading1"/>
      </w:pPr>
      <w:r>
        <w:t>附件一  工作说明书（SOW）</w:t>
      </w:r>
    </w:p>
    <w:p>
      <w:pPr>
        <w:keepNext w:val="0"/>
        <w:spacing w:before="0" w:after="60" w:line="300" w:lineRule="auto"/>
      </w:pPr>
      <w:r>
        <w:rPr>
          <w:rFonts w:ascii="Times New Roman" w:hAnsi="Times New Roman" w:eastAsia="宋体"/>
          <w:b w:val="0"/>
          <w:color w:val="404040"/>
          <w:sz w:val="19"/>
        </w:rPr>
        <w:t>本工作说明书由双方在签署前共同填写，并与主合同同时签署。空白项不得留空签署；不适用的事项应写“不适用”，不得删除本节。</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4706"/>
        <w:gridCol w:w="4706"/>
      </w:tblGrid>
      <w:tr>
        <w:trPr>
          <w:tblHeader w:val="true"/>
        </w:trPr>
        <w:tc>
          <w:tcPr>
            <w:tcW w:type="dxa" w:w="2381"/>
            <w:vAlign w:val="center"/>
            <w:tcMar>
              <w:top w:w="60" w:type="dxa"/>
              <w:start w:w="90" w:type="dxa"/>
              <w:bottom w:w="60" w:type="dxa"/>
              <w:end w:w="90" w:type="dxa"/>
            </w:tcMar>
            <w:shd w:fill="1F4E79"/>
          </w:tcPr>
          <w:p>
            <w:pPr>
              <w:spacing w:after="0"/>
              <w:jc w:val="center"/>
            </w:pPr>
            <w:r>
              <w:rPr>
                <w:rFonts w:ascii="黑体" w:hAnsi="黑体" w:eastAsia="黑体"/>
                <w:b/>
                <w:color w:val="FFFFFF"/>
                <w:sz w:val="19"/>
              </w:rPr>
              <w:t>项目</w:t>
            </w:r>
          </w:p>
        </w:tc>
        <w:tc>
          <w:tcPr>
            <w:tcW w:type="dxa" w:w="6123"/>
            <w:vAlign w:val="center"/>
            <w:tcMar>
              <w:top w:w="60" w:type="dxa"/>
              <w:start w:w="90" w:type="dxa"/>
              <w:bottom w:w="60" w:type="dxa"/>
              <w:end w:w="90" w:type="dxa"/>
            </w:tcMar>
            <w:shd w:fill="1F4E79"/>
          </w:tcPr>
          <w:p>
            <w:pPr>
              <w:spacing w:after="0"/>
              <w:jc w:val="center"/>
            </w:pPr>
            <w:r>
              <w:rPr>
                <w:rFonts w:ascii="黑体" w:hAnsi="黑体" w:eastAsia="黑体"/>
                <w:b/>
                <w:color w:val="FFFFFF"/>
                <w:sz w:val="19"/>
              </w:rPr>
              <w:t>内容</w:t>
            </w:r>
          </w:p>
        </w:tc>
      </w:tr>
      <w:tr>
        <w:trPr>
          <w:cantSplit/>
        </w:trPr>
        <w:tc>
          <w:tcPr>
            <w:tcW w:type="dxa" w:w="2381"/>
            <w:vAlign w:val="center"/>
            <w:tcMar>
              <w:top w:w="60" w:type="dxa"/>
              <w:start w:w="90" w:type="dxa"/>
              <w:bottom w:w="60" w:type="dxa"/>
              <w:end w:w="90" w:type="dxa"/>
            </w:tcMar>
          </w:tcPr>
          <w:p>
            <w:pPr>
              <w:spacing w:after="0" w:line="276" w:lineRule="auto"/>
            </w:pPr>
            <w:r>
              <w:rPr>
                <w:rFonts w:ascii="Times New Roman" w:hAnsi="Times New Roman" w:eastAsia="宋体"/>
                <w:b/>
                <w:sz w:val="19"/>
              </w:rPr>
              <w:t>SOW 编号/版本</w:t>
            </w:r>
          </w:p>
        </w:tc>
        <w:tc>
          <w:tcPr>
            <w:tcW w:type="dxa" w:w="6123"/>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 / 【v1.1】</w:t>
            </w:r>
          </w:p>
        </w:tc>
      </w:tr>
      <w:tr>
        <w:trPr>
          <w:cantSplit/>
        </w:trPr>
        <w:tc>
          <w:tcPr>
            <w:tcW w:type="dxa" w:w="2381"/>
            <w:vAlign w:val="center"/>
            <w:tcMar>
              <w:top w:w="60" w:type="dxa"/>
              <w:start w:w="90" w:type="dxa"/>
              <w:bottom w:w="60" w:type="dxa"/>
              <w:end w:w="90" w:type="dxa"/>
            </w:tcMar>
          </w:tcPr>
          <w:p>
            <w:pPr>
              <w:spacing w:after="0" w:line="276" w:lineRule="auto"/>
            </w:pPr>
            <w:r>
              <w:rPr>
                <w:rFonts w:ascii="Times New Roman" w:hAnsi="Times New Roman" w:eastAsia="宋体"/>
                <w:b/>
                <w:sz w:val="19"/>
              </w:rPr>
              <w:t>关联合同编号</w:t>
            </w:r>
          </w:p>
        </w:tc>
        <w:tc>
          <w:tcPr>
            <w:tcW w:type="dxa" w:w="6123"/>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w:t>
            </w:r>
          </w:p>
        </w:tc>
      </w:tr>
      <w:tr>
        <w:trPr>
          <w:cantSplit/>
        </w:trPr>
        <w:tc>
          <w:tcPr>
            <w:tcW w:type="dxa" w:w="2381"/>
            <w:vAlign w:val="center"/>
            <w:tcMar>
              <w:top w:w="60" w:type="dxa"/>
              <w:start w:w="90" w:type="dxa"/>
              <w:bottom w:w="60" w:type="dxa"/>
              <w:end w:w="90" w:type="dxa"/>
            </w:tcMar>
          </w:tcPr>
          <w:p>
            <w:pPr>
              <w:spacing w:after="0" w:line="276" w:lineRule="auto"/>
            </w:pPr>
            <w:r>
              <w:rPr>
                <w:rFonts w:ascii="Times New Roman" w:hAnsi="Times New Roman" w:eastAsia="宋体"/>
                <w:b/>
                <w:sz w:val="19"/>
              </w:rPr>
              <w:t>服务名称</w:t>
            </w:r>
          </w:p>
        </w:tc>
        <w:tc>
          <w:tcPr>
            <w:tcW w:type="dxa" w:w="6123"/>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w:t>
            </w:r>
          </w:p>
        </w:tc>
      </w:tr>
      <w:tr>
        <w:trPr>
          <w:cantSplit/>
        </w:trPr>
        <w:tc>
          <w:tcPr>
            <w:tcW w:type="dxa" w:w="2381"/>
            <w:vAlign w:val="center"/>
            <w:tcMar>
              <w:top w:w="60" w:type="dxa"/>
              <w:start w:w="90" w:type="dxa"/>
              <w:bottom w:w="60" w:type="dxa"/>
              <w:end w:w="90" w:type="dxa"/>
            </w:tcMar>
          </w:tcPr>
          <w:p>
            <w:pPr>
              <w:spacing w:after="0" w:line="276" w:lineRule="auto"/>
            </w:pPr>
            <w:r>
              <w:rPr>
                <w:rFonts w:ascii="Times New Roman" w:hAnsi="Times New Roman" w:eastAsia="宋体"/>
                <w:b/>
                <w:sz w:val="19"/>
              </w:rPr>
              <w:t>服务期限</w:t>
            </w:r>
          </w:p>
        </w:tc>
        <w:tc>
          <w:tcPr>
            <w:tcW w:type="dxa" w:w="6123"/>
            <w:vAlign w:val="center"/>
            <w:tcMar>
              <w:top w:w="60" w:type="dxa"/>
              <w:start w:w="90" w:type="dxa"/>
              <w:bottom w:w="60" w:type="dxa"/>
              <w:end w:w="90" w:type="dxa"/>
            </w:tcMar>
          </w:tcPr>
          <w:p>
            <w:pPr>
              <w:spacing w:after="0" w:line="276" w:lineRule="auto"/>
            </w:pPr>
            <w:r>
              <w:rPr>
                <w:rFonts w:ascii="Times New Roman" w:hAnsi="Times New Roman" w:eastAsia="宋体"/>
                <w:b w:val="0"/>
                <w:sz w:val="19"/>
              </w:rPr>
              <w:t>【起始日期】至【结束日期】</w:t>
            </w:r>
          </w:p>
        </w:tc>
      </w:tr>
      <w:tr>
        <w:trPr>
          <w:cantSplit/>
        </w:trPr>
        <w:tc>
          <w:tcPr>
            <w:tcW w:type="dxa" w:w="2381"/>
            <w:vAlign w:val="center"/>
            <w:tcMar>
              <w:top w:w="60" w:type="dxa"/>
              <w:start w:w="90" w:type="dxa"/>
              <w:bottom w:w="60" w:type="dxa"/>
              <w:end w:w="90" w:type="dxa"/>
            </w:tcMar>
          </w:tcPr>
          <w:p>
            <w:pPr>
              <w:spacing w:after="0" w:line="276" w:lineRule="auto"/>
            </w:pPr>
            <w:r>
              <w:rPr>
                <w:rFonts w:ascii="Times New Roman" w:hAnsi="Times New Roman" w:eastAsia="宋体"/>
                <w:b/>
                <w:sz w:val="19"/>
              </w:rPr>
              <w:t>服务地点/方式</w:t>
            </w:r>
          </w:p>
        </w:tc>
        <w:tc>
          <w:tcPr>
            <w:tcW w:type="dxa" w:w="6123"/>
            <w:vAlign w:val="center"/>
            <w:tcMar>
              <w:top w:w="60" w:type="dxa"/>
              <w:start w:w="90" w:type="dxa"/>
              <w:bottom w:w="60" w:type="dxa"/>
              <w:end w:w="90" w:type="dxa"/>
            </w:tcMar>
          </w:tcPr>
          <w:p>
            <w:pPr>
              <w:spacing w:after="0" w:line="276" w:lineRule="auto"/>
            </w:pPr>
            <w:r>
              <w:rPr>
                <w:rFonts w:ascii="Times New Roman" w:hAnsi="Times New Roman" w:eastAsia="宋体"/>
                <w:b w:val="0"/>
                <w:sz w:val="19"/>
              </w:rPr>
              <w:t>【现场/远程/混合；具体地址】</w:t>
            </w:r>
          </w:p>
        </w:tc>
      </w:tr>
      <w:tr>
        <w:trPr>
          <w:cantSplit/>
        </w:trPr>
        <w:tc>
          <w:tcPr>
            <w:tcW w:type="dxa" w:w="2381"/>
            <w:vAlign w:val="center"/>
            <w:tcMar>
              <w:top w:w="60" w:type="dxa"/>
              <w:start w:w="90" w:type="dxa"/>
              <w:bottom w:w="60" w:type="dxa"/>
              <w:end w:w="90" w:type="dxa"/>
            </w:tcMar>
          </w:tcPr>
          <w:p>
            <w:pPr>
              <w:spacing w:after="0" w:line="276" w:lineRule="auto"/>
            </w:pPr>
            <w:r>
              <w:rPr>
                <w:rFonts w:ascii="Times New Roman" w:hAnsi="Times New Roman" w:eastAsia="宋体"/>
                <w:b/>
                <w:sz w:val="19"/>
              </w:rPr>
              <w:t>项目目标</w:t>
            </w:r>
          </w:p>
        </w:tc>
        <w:tc>
          <w:tcPr>
            <w:tcW w:type="dxa" w:w="6123"/>
            <w:vAlign w:val="center"/>
            <w:tcMar>
              <w:top w:w="60" w:type="dxa"/>
              <w:start w:w="90" w:type="dxa"/>
              <w:bottom w:w="60" w:type="dxa"/>
              <w:end w:w="90" w:type="dxa"/>
            </w:tcMar>
          </w:tcPr>
          <w:p>
            <w:pPr>
              <w:spacing w:after="0" w:line="276" w:lineRule="auto"/>
            </w:pPr>
            <w:r>
              <w:rPr>
                <w:rFonts w:ascii="Times New Roman" w:hAnsi="Times New Roman" w:eastAsia="宋体"/>
                <w:b w:val="0"/>
                <w:sz w:val="19"/>
              </w:rPr>
              <w:t>【用可验证的结果描述，不写“提升效率”等无法验收的口号】</w:t>
            </w:r>
          </w:p>
        </w:tc>
      </w:tr>
    </w:tbl>
    <w:p>
      <w:pPr>
        <w:spacing w:after="60" w:line="300" w:lineRule="auto"/>
      </w:pPr>
    </w:p>
    <w:p>
      <w:pPr>
        <w:pStyle w:val="Heading2"/>
      </w:pPr>
      <w:r>
        <w:t>一、服务范围</w:t>
      </w:r>
    </w:p>
    <w:p>
      <w:pPr>
        <w:keepNext w:val="0"/>
        <w:spacing w:before="0" w:after="60" w:line="300" w:lineRule="auto"/>
      </w:pPr>
      <w:r>
        <w:rPr>
          <w:rFonts w:ascii="Times New Roman" w:hAnsi="Times New Roman" w:eastAsia="宋体"/>
          <w:b w:val="0"/>
          <w:sz w:val="19"/>
        </w:rPr>
        <w:t>【逐项写明乙方做什么、对什么对象、做多少、做到什么程度。示例：对甲方 3 个部门的 6 个核心流程进行现状诊断，形成诊断报告和流程手册，并提供 2 场培训。】</w:t>
      </w:r>
    </w:p>
    <w:p>
      <w:pPr>
        <w:pStyle w:val="Heading2"/>
      </w:pPr>
      <w:r>
        <w:t>二、排除项</w:t>
      </w:r>
    </w:p>
    <w:p>
      <w:pPr>
        <w:keepNext w:val="0"/>
        <w:spacing w:before="0" w:after="60" w:line="300" w:lineRule="auto"/>
      </w:pPr>
      <w:r>
        <w:rPr>
          <w:rFonts w:ascii="Times New Roman" w:hAnsi="Times New Roman" w:eastAsia="宋体"/>
          <w:b w:val="0"/>
          <w:sz w:val="19"/>
        </w:rPr>
        <w:t>【逐项写明乙方不做什么。示例：不包含系统开发、软件采购、数据迁移、长期驻场运维、个人信息处理。】</w:t>
      </w:r>
    </w:p>
    <w:p>
      <w:pPr>
        <w:pStyle w:val="Heading2"/>
      </w:pPr>
      <w:r>
        <w:t>三、交付物与验收标准</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1569"/>
        <w:gridCol w:w="1569"/>
        <w:gridCol w:w="1569"/>
        <w:gridCol w:w="1569"/>
        <w:gridCol w:w="1569"/>
        <w:gridCol w:w="1569"/>
      </w:tblGrid>
      <w:tr>
        <w:trPr>
          <w:tblHeader w:val="true"/>
        </w:trPr>
        <w:tc>
          <w:tcPr>
            <w:tcW w:type="dxa" w:w="567"/>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序号</w:t>
            </w:r>
          </w:p>
        </w:tc>
        <w:tc>
          <w:tcPr>
            <w:tcW w:type="dxa" w:w="1701"/>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交付物</w:t>
            </w:r>
          </w:p>
        </w:tc>
        <w:tc>
          <w:tcPr>
            <w:tcW w:type="dxa" w:w="1474"/>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形式/数量</w:t>
            </w:r>
          </w:p>
        </w:tc>
        <w:tc>
          <w:tcPr>
            <w:tcW w:type="dxa" w:w="2268"/>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内容要求</w:t>
            </w:r>
          </w:p>
        </w:tc>
        <w:tc>
          <w:tcPr>
            <w:tcW w:type="dxa" w:w="1928"/>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验收标准</w:t>
            </w:r>
          </w:p>
        </w:tc>
        <w:tc>
          <w:tcPr>
            <w:tcW w:type="dxa" w:w="1020"/>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交付时间</w:t>
            </w:r>
          </w:p>
        </w:tc>
      </w:tr>
      <w:tr>
        <w:trPr>
          <w:cantSplit/>
        </w:trPr>
        <w:tc>
          <w:tcPr>
            <w:tcW w:type="dxa" w:w="567"/>
            <w:vAlign w:val="center"/>
            <w:tcMar>
              <w:top w:w="60" w:type="dxa"/>
              <w:start w:w="90" w:type="dxa"/>
              <w:bottom w:w="60" w:type="dxa"/>
              <w:end w:w="90" w:type="dxa"/>
            </w:tcMar>
          </w:tcPr>
          <w:p>
            <w:pPr>
              <w:spacing w:after="0" w:line="276" w:lineRule="auto"/>
              <w:jc w:val="center"/>
            </w:pPr>
            <w:r>
              <w:rPr>
                <w:rFonts w:ascii="Times New Roman" w:hAnsi="Times New Roman" w:eastAsia="宋体"/>
                <w:b w:val="0"/>
                <w:sz w:val="17"/>
              </w:rPr>
              <w:t>1</w:t>
            </w:r>
          </w:p>
        </w:tc>
        <w:tc>
          <w:tcPr>
            <w:tcW w:type="dxa" w:w="1701"/>
            <w:vAlign w:val="center"/>
            <w:tcMar>
              <w:top w:w="60" w:type="dxa"/>
              <w:start w:w="90" w:type="dxa"/>
              <w:bottom w:w="60" w:type="dxa"/>
              <w:end w:w="90" w:type="dxa"/>
            </w:tcMar>
          </w:tcPr>
          <w:p>
            <w:pPr>
              <w:spacing w:after="0" w:line="276" w:lineRule="auto"/>
            </w:pPr>
            <w:r>
              <w:rPr>
                <w:rFonts w:ascii="Times New Roman" w:hAnsi="Times New Roman" w:eastAsia="宋体"/>
                <w:b w:val="0"/>
                <w:sz w:val="17"/>
              </w:rPr>
              <w:t>【名称】</w:t>
            </w:r>
          </w:p>
        </w:tc>
        <w:tc>
          <w:tcPr>
            <w:tcW w:type="dxa" w:w="1474"/>
            <w:vAlign w:val="center"/>
            <w:tcMar>
              <w:top w:w="60" w:type="dxa"/>
              <w:start w:w="90" w:type="dxa"/>
              <w:bottom w:w="60" w:type="dxa"/>
              <w:end w:w="90" w:type="dxa"/>
            </w:tcMar>
          </w:tcPr>
          <w:p>
            <w:pPr>
              <w:spacing w:after="0" w:line="276" w:lineRule="auto"/>
            </w:pPr>
            <w:r>
              <w:rPr>
                <w:rFonts w:ascii="Times New Roman" w:hAnsi="Times New Roman" w:eastAsia="宋体"/>
                <w:b w:val="0"/>
                <w:sz w:val="17"/>
              </w:rPr>
              <w:t>【文档/演示/培训/代码】</w:t>
            </w:r>
          </w:p>
        </w:tc>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7"/>
              </w:rPr>
              <w:t>【必须包含的章节、数据、流程】</w:t>
            </w:r>
          </w:p>
        </w:tc>
        <w:tc>
          <w:tcPr>
            <w:tcW w:type="dxa" w:w="1928"/>
            <w:vAlign w:val="center"/>
            <w:tcMar>
              <w:top w:w="60" w:type="dxa"/>
              <w:start w:w="90" w:type="dxa"/>
              <w:bottom w:w="60" w:type="dxa"/>
              <w:end w:w="90" w:type="dxa"/>
            </w:tcMar>
          </w:tcPr>
          <w:p>
            <w:pPr>
              <w:spacing w:after="0" w:line="276" w:lineRule="auto"/>
            </w:pPr>
            <w:r>
              <w:rPr>
                <w:rFonts w:ascii="Times New Roman" w:hAnsi="Times New Roman" w:eastAsia="宋体"/>
                <w:b w:val="0"/>
                <w:sz w:val="17"/>
              </w:rPr>
              <w:t>【可核对的数量、完整性、演示或测试结果】</w:t>
            </w:r>
          </w:p>
        </w:tc>
        <w:tc>
          <w:tcPr>
            <w:tcW w:type="dxa" w:w="1020"/>
            <w:vAlign w:val="center"/>
            <w:tcMar>
              <w:top w:w="60" w:type="dxa"/>
              <w:start w:w="90" w:type="dxa"/>
              <w:bottom w:w="60" w:type="dxa"/>
              <w:end w:w="90" w:type="dxa"/>
            </w:tcMar>
          </w:tcPr>
          <w:p>
            <w:pPr>
              <w:spacing w:after="0" w:line="276" w:lineRule="auto"/>
            </w:pPr>
            <w:r>
              <w:rPr>
                <w:rFonts w:ascii="Times New Roman" w:hAnsi="Times New Roman" w:eastAsia="宋体"/>
                <w:b w:val="0"/>
                <w:sz w:val="17"/>
              </w:rPr>
              <w:t>【日期】</w:t>
            </w:r>
          </w:p>
        </w:tc>
      </w:tr>
      <w:tr>
        <w:trPr>
          <w:cantSplit/>
        </w:trPr>
        <w:tc>
          <w:tcPr>
            <w:tcW w:type="dxa" w:w="567"/>
            <w:vAlign w:val="center"/>
            <w:tcMar>
              <w:top w:w="60" w:type="dxa"/>
              <w:start w:w="90" w:type="dxa"/>
              <w:bottom w:w="60" w:type="dxa"/>
              <w:end w:w="90" w:type="dxa"/>
            </w:tcMar>
          </w:tcPr>
          <w:p>
            <w:pPr>
              <w:spacing w:after="0" w:line="276" w:lineRule="auto"/>
              <w:jc w:val="center"/>
            </w:pPr>
            <w:r>
              <w:rPr>
                <w:rFonts w:ascii="Times New Roman" w:hAnsi="Times New Roman" w:eastAsia="宋体"/>
                <w:b w:val="0"/>
                <w:sz w:val="17"/>
              </w:rPr>
              <w:t>2</w:t>
            </w:r>
          </w:p>
        </w:tc>
        <w:tc>
          <w:tcPr>
            <w:tcW w:type="dxa" w:w="1701"/>
            <w:vAlign w:val="center"/>
            <w:tcMar>
              <w:top w:w="60" w:type="dxa"/>
              <w:start w:w="90" w:type="dxa"/>
              <w:bottom w:w="60" w:type="dxa"/>
              <w:end w:w="90" w:type="dxa"/>
            </w:tcMar>
          </w:tcPr>
          <w:p>
            <w:pPr>
              <w:spacing w:after="0" w:line="276" w:lineRule="auto"/>
            </w:pPr>
            <w:r>
              <w:rPr>
                <w:rFonts w:ascii="Times New Roman" w:hAnsi="Times New Roman" w:eastAsia="宋体"/>
                <w:b w:val="0"/>
                <w:sz w:val="17"/>
              </w:rPr>
            </w:r>
          </w:p>
        </w:tc>
        <w:tc>
          <w:tcPr>
            <w:tcW w:type="dxa" w:w="1474"/>
            <w:vAlign w:val="center"/>
            <w:tcMar>
              <w:top w:w="60" w:type="dxa"/>
              <w:start w:w="90" w:type="dxa"/>
              <w:bottom w:w="60" w:type="dxa"/>
              <w:end w:w="90" w:type="dxa"/>
            </w:tcMar>
          </w:tcPr>
          <w:p>
            <w:pPr>
              <w:spacing w:after="0" w:line="276" w:lineRule="auto"/>
            </w:pPr>
            <w:r>
              <w:rPr>
                <w:rFonts w:ascii="Times New Roman" w:hAnsi="Times New Roman" w:eastAsia="宋体"/>
                <w:b w:val="0"/>
                <w:sz w:val="17"/>
              </w:rPr>
            </w:r>
          </w:p>
        </w:tc>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7"/>
              </w:rPr>
            </w:r>
          </w:p>
        </w:tc>
        <w:tc>
          <w:tcPr>
            <w:tcW w:type="dxa" w:w="1928"/>
            <w:vAlign w:val="center"/>
            <w:tcMar>
              <w:top w:w="60" w:type="dxa"/>
              <w:start w:w="90" w:type="dxa"/>
              <w:bottom w:w="60" w:type="dxa"/>
              <w:end w:w="90" w:type="dxa"/>
            </w:tcMar>
          </w:tcPr>
          <w:p>
            <w:pPr>
              <w:spacing w:after="0" w:line="276" w:lineRule="auto"/>
            </w:pPr>
            <w:r>
              <w:rPr>
                <w:rFonts w:ascii="Times New Roman" w:hAnsi="Times New Roman" w:eastAsia="宋体"/>
                <w:b w:val="0"/>
                <w:sz w:val="17"/>
              </w:rPr>
            </w:r>
          </w:p>
        </w:tc>
        <w:tc>
          <w:tcPr>
            <w:tcW w:type="dxa" w:w="1020"/>
            <w:vAlign w:val="center"/>
            <w:tcMar>
              <w:top w:w="60" w:type="dxa"/>
              <w:start w:w="90" w:type="dxa"/>
              <w:bottom w:w="60" w:type="dxa"/>
              <w:end w:w="90" w:type="dxa"/>
            </w:tcMar>
          </w:tcPr>
          <w:p>
            <w:pPr>
              <w:spacing w:after="0" w:line="276" w:lineRule="auto"/>
            </w:pPr>
            <w:r>
              <w:rPr>
                <w:rFonts w:ascii="Times New Roman" w:hAnsi="Times New Roman" w:eastAsia="宋体"/>
                <w:b w:val="0"/>
                <w:sz w:val="17"/>
              </w:rPr>
            </w:r>
          </w:p>
        </w:tc>
      </w:tr>
      <w:tr>
        <w:trPr>
          <w:cantSplit/>
        </w:trPr>
        <w:tc>
          <w:tcPr>
            <w:tcW w:type="dxa" w:w="567"/>
            <w:vAlign w:val="center"/>
            <w:tcMar>
              <w:top w:w="60" w:type="dxa"/>
              <w:start w:w="90" w:type="dxa"/>
              <w:bottom w:w="60" w:type="dxa"/>
              <w:end w:w="90" w:type="dxa"/>
            </w:tcMar>
          </w:tcPr>
          <w:p>
            <w:pPr>
              <w:spacing w:after="0" w:line="276" w:lineRule="auto"/>
              <w:jc w:val="center"/>
            </w:pPr>
            <w:r>
              <w:rPr>
                <w:rFonts w:ascii="Times New Roman" w:hAnsi="Times New Roman" w:eastAsia="宋体"/>
                <w:b w:val="0"/>
                <w:sz w:val="17"/>
              </w:rPr>
              <w:t>3</w:t>
            </w:r>
          </w:p>
        </w:tc>
        <w:tc>
          <w:tcPr>
            <w:tcW w:type="dxa" w:w="1701"/>
            <w:vAlign w:val="center"/>
            <w:tcMar>
              <w:top w:w="60" w:type="dxa"/>
              <w:start w:w="90" w:type="dxa"/>
              <w:bottom w:w="60" w:type="dxa"/>
              <w:end w:w="90" w:type="dxa"/>
            </w:tcMar>
          </w:tcPr>
          <w:p>
            <w:pPr>
              <w:spacing w:after="0" w:line="276" w:lineRule="auto"/>
            </w:pPr>
            <w:r>
              <w:rPr>
                <w:rFonts w:ascii="Times New Roman" w:hAnsi="Times New Roman" w:eastAsia="宋体"/>
                <w:b w:val="0"/>
                <w:sz w:val="17"/>
              </w:rPr>
            </w:r>
          </w:p>
        </w:tc>
        <w:tc>
          <w:tcPr>
            <w:tcW w:type="dxa" w:w="1474"/>
            <w:vAlign w:val="center"/>
            <w:tcMar>
              <w:top w:w="60" w:type="dxa"/>
              <w:start w:w="90" w:type="dxa"/>
              <w:bottom w:w="60" w:type="dxa"/>
              <w:end w:w="90" w:type="dxa"/>
            </w:tcMar>
          </w:tcPr>
          <w:p>
            <w:pPr>
              <w:spacing w:after="0" w:line="276" w:lineRule="auto"/>
            </w:pPr>
            <w:r>
              <w:rPr>
                <w:rFonts w:ascii="Times New Roman" w:hAnsi="Times New Roman" w:eastAsia="宋体"/>
                <w:b w:val="0"/>
                <w:sz w:val="17"/>
              </w:rPr>
            </w:r>
          </w:p>
        </w:tc>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7"/>
              </w:rPr>
            </w:r>
          </w:p>
        </w:tc>
        <w:tc>
          <w:tcPr>
            <w:tcW w:type="dxa" w:w="1928"/>
            <w:vAlign w:val="center"/>
            <w:tcMar>
              <w:top w:w="60" w:type="dxa"/>
              <w:start w:w="90" w:type="dxa"/>
              <w:bottom w:w="60" w:type="dxa"/>
              <w:end w:w="90" w:type="dxa"/>
            </w:tcMar>
          </w:tcPr>
          <w:p>
            <w:pPr>
              <w:spacing w:after="0" w:line="276" w:lineRule="auto"/>
            </w:pPr>
            <w:r>
              <w:rPr>
                <w:rFonts w:ascii="Times New Roman" w:hAnsi="Times New Roman" w:eastAsia="宋体"/>
                <w:b w:val="0"/>
                <w:sz w:val="17"/>
              </w:rPr>
            </w:r>
          </w:p>
        </w:tc>
        <w:tc>
          <w:tcPr>
            <w:tcW w:type="dxa" w:w="1020"/>
            <w:vAlign w:val="center"/>
            <w:tcMar>
              <w:top w:w="60" w:type="dxa"/>
              <w:start w:w="90" w:type="dxa"/>
              <w:bottom w:w="60" w:type="dxa"/>
              <w:end w:w="90" w:type="dxa"/>
            </w:tcMar>
          </w:tcPr>
          <w:p>
            <w:pPr>
              <w:spacing w:after="0" w:line="276" w:lineRule="auto"/>
            </w:pPr>
            <w:r>
              <w:rPr>
                <w:rFonts w:ascii="Times New Roman" w:hAnsi="Times New Roman" w:eastAsia="宋体"/>
                <w:b w:val="0"/>
                <w:sz w:val="17"/>
              </w:rPr>
            </w:r>
          </w:p>
        </w:tc>
      </w:tr>
    </w:tbl>
    <w:p>
      <w:pPr>
        <w:spacing w:after="60" w:line="300" w:lineRule="auto"/>
      </w:pPr>
    </w:p>
    <w:p>
      <w:pPr>
        <w:pStyle w:val="Heading2"/>
      </w:pPr>
      <w:r>
        <w:t>四、里程碑与付款对应</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1882"/>
        <w:gridCol w:w="1882"/>
        <w:gridCol w:w="1882"/>
        <w:gridCol w:w="1882"/>
        <w:gridCol w:w="1882"/>
      </w:tblGrid>
      <w:tr>
        <w:trPr>
          <w:tblHeader w:val="true"/>
        </w:trPr>
        <w:tc>
          <w:tcPr>
            <w:tcW w:type="dxa" w:w="1247"/>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里程碑</w:t>
            </w:r>
          </w:p>
        </w:tc>
        <w:tc>
          <w:tcPr>
            <w:tcW w:type="dxa" w:w="3175"/>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完成标志</w:t>
            </w:r>
          </w:p>
        </w:tc>
        <w:tc>
          <w:tcPr>
            <w:tcW w:type="dxa" w:w="1701"/>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对应付款</w:t>
            </w:r>
          </w:p>
        </w:tc>
        <w:tc>
          <w:tcPr>
            <w:tcW w:type="dxa" w:w="1361"/>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金额（元）</w:t>
            </w:r>
          </w:p>
        </w:tc>
        <w:tc>
          <w:tcPr>
            <w:tcW w:type="dxa" w:w="1134"/>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备注</w:t>
            </w:r>
          </w:p>
        </w:tc>
      </w:tr>
      <w:tr>
        <w:trPr>
          <w:cantSplit/>
        </w:trPr>
        <w:tc>
          <w:tcPr>
            <w:tcW w:type="dxa" w:w="1247"/>
            <w:vAlign w:val="center"/>
            <w:tcMar>
              <w:top w:w="60" w:type="dxa"/>
              <w:start w:w="90" w:type="dxa"/>
              <w:bottom w:w="60" w:type="dxa"/>
              <w:end w:w="90" w:type="dxa"/>
            </w:tcMar>
          </w:tcPr>
          <w:p>
            <w:pPr>
              <w:spacing w:after="0" w:line="276" w:lineRule="auto"/>
            </w:pPr>
            <w:r>
              <w:rPr>
                <w:rFonts w:ascii="Times New Roman" w:hAnsi="Times New Roman" w:eastAsia="宋体"/>
                <w:b w:val="0"/>
                <w:sz w:val="17"/>
              </w:rPr>
              <w:t>启动</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7"/>
              </w:rPr>
              <w:t>【启动计划、人员名单、访谈安排提交】</w:t>
            </w:r>
          </w:p>
        </w:tc>
        <w:tc>
          <w:tcPr>
            <w:tcW w:type="dxa" w:w="1701"/>
            <w:vAlign w:val="center"/>
            <w:tcMar>
              <w:top w:w="60" w:type="dxa"/>
              <w:start w:w="90" w:type="dxa"/>
              <w:bottom w:w="60" w:type="dxa"/>
              <w:end w:w="90" w:type="dxa"/>
            </w:tcMar>
          </w:tcPr>
          <w:p>
            <w:pPr>
              <w:spacing w:after="0" w:line="276" w:lineRule="auto"/>
            </w:pPr>
            <w:r>
              <w:rPr>
                <w:rFonts w:ascii="Times New Roman" w:hAnsi="Times New Roman" w:eastAsia="宋体"/>
                <w:b w:val="0"/>
                <w:sz w:val="17"/>
              </w:rPr>
              <w:t>预付款【30%】</w:t>
            </w:r>
          </w:p>
        </w:tc>
        <w:tc>
          <w:tcPr>
            <w:tcW w:type="dxa" w:w="1361"/>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134"/>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r>
      <w:tr>
        <w:trPr>
          <w:cantSplit/>
        </w:trPr>
        <w:tc>
          <w:tcPr>
            <w:tcW w:type="dxa" w:w="1247"/>
            <w:vAlign w:val="center"/>
            <w:tcMar>
              <w:top w:w="60" w:type="dxa"/>
              <w:start w:w="90" w:type="dxa"/>
              <w:bottom w:w="60" w:type="dxa"/>
              <w:end w:w="90" w:type="dxa"/>
            </w:tcMar>
          </w:tcPr>
          <w:p>
            <w:pPr>
              <w:spacing w:after="0" w:line="276" w:lineRule="auto"/>
            </w:pPr>
            <w:r>
              <w:rPr>
                <w:rFonts w:ascii="Times New Roman" w:hAnsi="Times New Roman" w:eastAsia="宋体"/>
                <w:b w:val="0"/>
                <w:sz w:val="17"/>
              </w:rPr>
              <w:t>阶段一</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7"/>
              </w:rPr>
              <w:t>【阶段交付物验收合格】</w:t>
            </w:r>
          </w:p>
        </w:tc>
        <w:tc>
          <w:tcPr>
            <w:tcW w:type="dxa" w:w="1701"/>
            <w:vAlign w:val="center"/>
            <w:tcMar>
              <w:top w:w="60" w:type="dxa"/>
              <w:start w:w="90" w:type="dxa"/>
              <w:bottom w:w="60" w:type="dxa"/>
              <w:end w:w="90" w:type="dxa"/>
            </w:tcMar>
          </w:tcPr>
          <w:p>
            <w:pPr>
              <w:spacing w:after="0" w:line="276" w:lineRule="auto"/>
            </w:pPr>
            <w:r>
              <w:rPr>
                <w:rFonts w:ascii="Times New Roman" w:hAnsi="Times New Roman" w:eastAsia="宋体"/>
                <w:b w:val="0"/>
                <w:sz w:val="17"/>
              </w:rPr>
              <w:t>进度款【40%】</w:t>
            </w:r>
          </w:p>
        </w:tc>
        <w:tc>
          <w:tcPr>
            <w:tcW w:type="dxa" w:w="1361"/>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134"/>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r>
      <w:tr>
        <w:trPr>
          <w:cantSplit/>
        </w:trPr>
        <w:tc>
          <w:tcPr>
            <w:tcW w:type="dxa" w:w="1247"/>
            <w:vAlign w:val="center"/>
            <w:tcMar>
              <w:top w:w="60" w:type="dxa"/>
              <w:start w:w="90" w:type="dxa"/>
              <w:bottom w:w="60" w:type="dxa"/>
              <w:end w:w="90" w:type="dxa"/>
            </w:tcMar>
          </w:tcPr>
          <w:p>
            <w:pPr>
              <w:spacing w:after="0" w:line="276" w:lineRule="auto"/>
            </w:pPr>
            <w:r>
              <w:rPr>
                <w:rFonts w:ascii="Times New Roman" w:hAnsi="Times New Roman" w:eastAsia="宋体"/>
                <w:b w:val="0"/>
                <w:sz w:val="17"/>
              </w:rPr>
              <w:t>最终</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7"/>
              </w:rPr>
              <w:t>【全部交付物验收合格、结项】</w:t>
            </w:r>
          </w:p>
        </w:tc>
        <w:tc>
          <w:tcPr>
            <w:tcW w:type="dxa" w:w="1701"/>
            <w:vAlign w:val="center"/>
            <w:tcMar>
              <w:top w:w="60" w:type="dxa"/>
              <w:start w:w="90" w:type="dxa"/>
              <w:bottom w:w="60" w:type="dxa"/>
              <w:end w:w="90" w:type="dxa"/>
            </w:tcMar>
          </w:tcPr>
          <w:p>
            <w:pPr>
              <w:spacing w:after="0" w:line="276" w:lineRule="auto"/>
            </w:pPr>
            <w:r>
              <w:rPr>
                <w:rFonts w:ascii="Times New Roman" w:hAnsi="Times New Roman" w:eastAsia="宋体"/>
                <w:b w:val="0"/>
                <w:sz w:val="17"/>
              </w:rPr>
              <w:t>尾款【30%】</w:t>
            </w:r>
          </w:p>
        </w:tc>
        <w:tc>
          <w:tcPr>
            <w:tcW w:type="dxa" w:w="1361"/>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134"/>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r>
    </w:tbl>
    <w:p>
      <w:pPr>
        <w:spacing w:after="60" w:line="300" w:lineRule="auto"/>
      </w:pPr>
    </w:p>
    <w:p>
      <w:pPr>
        <w:pStyle w:val="Heading2"/>
      </w:pPr>
      <w:r>
        <w:t>五、人员安排</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1882"/>
        <w:gridCol w:w="1882"/>
        <w:gridCol w:w="1882"/>
        <w:gridCol w:w="1882"/>
        <w:gridCol w:w="1882"/>
      </w:tblGrid>
      <w:tr>
        <w:trPr>
          <w:tblHeader w:val="true"/>
        </w:trPr>
        <w:tc>
          <w:tcPr>
            <w:tcW w:type="dxa" w:w="1701"/>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角色</w:t>
            </w:r>
          </w:p>
        </w:tc>
        <w:tc>
          <w:tcPr>
            <w:tcW w:type="dxa" w:w="1020"/>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人数</w:t>
            </w:r>
          </w:p>
        </w:tc>
        <w:tc>
          <w:tcPr>
            <w:tcW w:type="dxa" w:w="1928"/>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投入方式/期间</w:t>
            </w:r>
          </w:p>
        </w:tc>
        <w:tc>
          <w:tcPr>
            <w:tcW w:type="dxa" w:w="2041"/>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关键人员</w:t>
            </w:r>
          </w:p>
        </w:tc>
        <w:tc>
          <w:tcPr>
            <w:tcW w:type="dxa" w:w="1928"/>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替换规则</w:t>
            </w:r>
          </w:p>
        </w:tc>
      </w:tr>
      <w:tr>
        <w:trPr>
          <w:cantSplit/>
        </w:trPr>
        <w:tc>
          <w:tcPr>
            <w:tcW w:type="dxa" w:w="1701"/>
            <w:vAlign w:val="center"/>
            <w:tcMar>
              <w:top w:w="60" w:type="dxa"/>
              <w:start w:w="90" w:type="dxa"/>
              <w:bottom w:w="60" w:type="dxa"/>
              <w:end w:w="90" w:type="dxa"/>
            </w:tcMar>
          </w:tcPr>
          <w:p>
            <w:pPr>
              <w:spacing w:after="0" w:line="276" w:lineRule="auto"/>
            </w:pPr>
            <w:r>
              <w:rPr>
                <w:rFonts w:ascii="Times New Roman" w:hAnsi="Times New Roman" w:eastAsia="宋体"/>
                <w:b w:val="0"/>
                <w:sz w:val="17"/>
              </w:rPr>
              <w:t>项目经理</w:t>
            </w:r>
          </w:p>
        </w:tc>
        <w:tc>
          <w:tcPr>
            <w:tcW w:type="dxa" w:w="1020"/>
            <w:vAlign w:val="center"/>
            <w:tcMar>
              <w:top w:w="60" w:type="dxa"/>
              <w:start w:w="90" w:type="dxa"/>
              <w:bottom w:w="60" w:type="dxa"/>
              <w:end w:w="90" w:type="dxa"/>
            </w:tcMar>
          </w:tcPr>
          <w:p>
            <w:pPr>
              <w:spacing w:after="0" w:line="276" w:lineRule="auto"/>
            </w:pPr>
            <w:r>
              <w:rPr>
                <w:rFonts w:ascii="Times New Roman" w:hAnsi="Times New Roman" w:eastAsia="宋体"/>
                <w:b w:val="0"/>
                <w:sz w:val="17"/>
              </w:rPr>
              <w:t>【1】</w:t>
            </w:r>
          </w:p>
        </w:tc>
        <w:tc>
          <w:tcPr>
            <w:tcW w:type="dxa" w:w="192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2041"/>
            <w:vAlign w:val="center"/>
            <w:tcMar>
              <w:top w:w="60" w:type="dxa"/>
              <w:start w:w="90" w:type="dxa"/>
              <w:bottom w:w="60" w:type="dxa"/>
              <w:end w:w="90" w:type="dxa"/>
            </w:tcMar>
          </w:tcPr>
          <w:p>
            <w:pPr>
              <w:spacing w:after="0" w:line="276" w:lineRule="auto"/>
            </w:pPr>
            <w:r>
              <w:rPr>
                <w:rFonts w:ascii="Times New Roman" w:hAnsi="Times New Roman" w:eastAsia="宋体"/>
                <w:b w:val="0"/>
                <w:sz w:val="17"/>
              </w:rPr>
              <w:t>【岗位/姓名】</w:t>
            </w:r>
          </w:p>
        </w:tc>
        <w:tc>
          <w:tcPr>
            <w:tcW w:type="dxa" w:w="1928"/>
            <w:vAlign w:val="center"/>
            <w:tcMar>
              <w:top w:w="60" w:type="dxa"/>
              <w:start w:w="90" w:type="dxa"/>
              <w:bottom w:w="60" w:type="dxa"/>
              <w:end w:w="90" w:type="dxa"/>
            </w:tcMar>
          </w:tcPr>
          <w:p>
            <w:r>
              <w:t>经甲方书面同意，提前10个工作日通知；替换人员具备同等或更高能力</w:t>
            </w:r>
          </w:p>
        </w:tc>
      </w:tr>
      <w:tr>
        <w:trPr>
          <w:cantSplit/>
        </w:trPr>
        <w:tc>
          <w:tcPr>
            <w:tcW w:type="dxa" w:w="1701"/>
            <w:vAlign w:val="center"/>
            <w:tcMar>
              <w:top w:w="60" w:type="dxa"/>
              <w:start w:w="90" w:type="dxa"/>
              <w:bottom w:w="60" w:type="dxa"/>
              <w:end w:w="90" w:type="dxa"/>
            </w:tcMar>
          </w:tcPr>
          <w:p>
            <w:pPr>
              <w:spacing w:after="0" w:line="276" w:lineRule="auto"/>
            </w:pPr>
            <w:r>
              <w:rPr>
                <w:rFonts w:ascii="Times New Roman" w:hAnsi="Times New Roman" w:eastAsia="宋体"/>
                <w:b w:val="0"/>
                <w:sz w:val="17"/>
              </w:rPr>
              <w:t>顾问</w:t>
            </w:r>
          </w:p>
        </w:tc>
        <w:tc>
          <w:tcPr>
            <w:tcW w:type="dxa" w:w="1020"/>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92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2041"/>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92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r>
      <w:tr>
        <w:trPr>
          <w:cantSplit/>
        </w:trPr>
        <w:tc>
          <w:tcPr>
            <w:tcW w:type="dxa" w:w="1701"/>
            <w:vAlign w:val="center"/>
            <w:tcMar>
              <w:top w:w="60" w:type="dxa"/>
              <w:start w:w="90" w:type="dxa"/>
              <w:bottom w:w="60" w:type="dxa"/>
              <w:end w:w="90" w:type="dxa"/>
            </w:tcMar>
          </w:tcPr>
          <w:p>
            <w:pPr>
              <w:spacing w:after="0" w:line="276" w:lineRule="auto"/>
            </w:pPr>
            <w:r>
              <w:rPr>
                <w:rFonts w:ascii="Times New Roman" w:hAnsi="Times New Roman" w:eastAsia="宋体"/>
                <w:b w:val="0"/>
                <w:sz w:val="17"/>
              </w:rPr>
              <w:t>讲师/其他</w:t>
            </w:r>
          </w:p>
        </w:tc>
        <w:tc>
          <w:tcPr>
            <w:tcW w:type="dxa" w:w="1020"/>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92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2041"/>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92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r>
    </w:tbl>
    <w:p>
      <w:pPr>
        <w:spacing w:after="60" w:line="300" w:lineRule="auto"/>
      </w:pPr>
    </w:p>
    <w:p>
      <w:pPr>
        <w:pStyle w:val="Heading2"/>
      </w:pPr>
      <w:r>
        <w:t>六、甲方前提条件</w:t>
      </w:r>
    </w:p>
    <w:p>
      <w:pPr>
        <w:keepNext w:val="0"/>
        <w:spacing w:before="0" w:after="60" w:line="300" w:lineRule="auto"/>
      </w:pPr>
      <w:r>
        <w:rPr>
          <w:rFonts w:ascii="Times New Roman" w:hAnsi="Times New Roman" w:eastAsia="宋体"/>
          <w:b w:val="0"/>
          <w:sz w:val="19"/>
        </w:rPr>
        <w:t>【逐项写明甲方需提供的资料、访谈窗口、场地、接口人、审批配合。示例：指定项目负责人；提供 3 个部门访谈窗口；提供现有流程文件；按约定确认验收。】</w:t>
      </w:r>
    </w:p>
    <w:p>
      <w:pPr>
        <w:keepNext w:val="0"/>
        <w:spacing w:before="0" w:after="60" w:line="300" w:lineRule="auto"/>
      </w:pPr>
      <w:r>
        <w:rPr>
          <w:rFonts w:ascii="Times New Roman" w:hAnsi="Times New Roman" w:eastAsia="宋体"/>
          <w:b w:val="0"/>
          <w:sz w:val="19"/>
        </w:rPr>
        <w:t>前提未满足的处理：【工期相应顺延；乙方应在 3 个工作日内书面说明影响；不得自行增加价款。】</w:t>
      </w:r>
    </w:p>
    <w:p>
      <w:pPr>
        <w:pStyle w:val="Heading2"/>
      </w:pPr>
      <w:r>
        <w:t>七、第三方材料、开源与知识产权</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1569"/>
        <w:gridCol w:w="1569"/>
        <w:gridCol w:w="1569"/>
        <w:gridCol w:w="1569"/>
        <w:gridCol w:w="1569"/>
        <w:gridCol w:w="1569"/>
      </w:tblGrid>
      <w:tr>
        <w:trPr>
          <w:tblHeader w:val="true"/>
        </w:trPr>
        <w:tc>
          <w:tcPr>
            <w:tcW w:type="dxa" w:w="1928"/>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名称/版本</w:t>
            </w:r>
          </w:p>
        </w:tc>
        <w:tc>
          <w:tcPr>
            <w:tcW w:type="dxa" w:w="1474"/>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类型</w:t>
            </w:r>
          </w:p>
        </w:tc>
        <w:tc>
          <w:tcPr>
            <w:tcW w:type="dxa" w:w="1587"/>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许可证/授权</w:t>
            </w:r>
          </w:p>
        </w:tc>
        <w:tc>
          <w:tcPr>
            <w:tcW w:type="dxa" w:w="1701"/>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使用范围</w:t>
            </w:r>
          </w:p>
        </w:tc>
        <w:tc>
          <w:tcPr>
            <w:tcW w:type="dxa" w:w="1247"/>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限制</w:t>
            </w:r>
          </w:p>
        </w:tc>
        <w:tc>
          <w:tcPr>
            <w:tcW w:type="dxa" w:w="1134"/>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是否已获甲方批准</w:t>
            </w:r>
          </w:p>
        </w:tc>
      </w:tr>
      <w:tr>
        <w:trPr>
          <w:cantSplit/>
        </w:trPr>
        <w:tc>
          <w:tcPr>
            <w:tcW w:type="dxa" w:w="192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474"/>
            <w:vAlign w:val="center"/>
            <w:tcMar>
              <w:top w:w="60" w:type="dxa"/>
              <w:start w:w="90" w:type="dxa"/>
              <w:bottom w:w="60" w:type="dxa"/>
              <w:end w:w="90" w:type="dxa"/>
            </w:tcMar>
          </w:tcPr>
          <w:p>
            <w:pPr>
              <w:spacing w:after="0" w:line="276" w:lineRule="auto"/>
            </w:pPr>
            <w:r>
              <w:rPr>
                <w:rFonts w:ascii="Times New Roman" w:hAnsi="Times New Roman" w:eastAsia="宋体"/>
                <w:b w:val="0"/>
                <w:sz w:val="17"/>
              </w:rPr>
              <w:t>【软件/数据/模板/开源】</w:t>
            </w:r>
          </w:p>
        </w:tc>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701"/>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247"/>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134"/>
            <w:vAlign w:val="center"/>
            <w:tcMar>
              <w:top w:w="60" w:type="dxa"/>
              <w:start w:w="90" w:type="dxa"/>
              <w:bottom w:w="60" w:type="dxa"/>
              <w:end w:w="90" w:type="dxa"/>
            </w:tcMar>
          </w:tcPr>
          <w:p>
            <w:pPr>
              <w:spacing w:after="0" w:line="276" w:lineRule="auto"/>
            </w:pPr>
            <w:r>
              <w:rPr>
                <w:rFonts w:ascii="Times New Roman" w:hAnsi="Times New Roman" w:eastAsia="宋体"/>
                <w:b w:val="0"/>
                <w:sz w:val="17"/>
              </w:rPr>
              <w:t>【是/否】</w:t>
            </w:r>
          </w:p>
        </w:tc>
      </w:tr>
    </w:tbl>
    <w:p>
      <w:pPr>
        <w:spacing w:after="60" w:line="300" w:lineRule="auto"/>
      </w:pPr>
    </w:p>
    <w:p>
      <w:pPr>
        <w:keepNext w:val="0"/>
        <w:spacing w:before="0" w:after="60" w:line="300" w:lineRule="auto"/>
      </w:pPr>
      <w:r>
        <w:rPr>
          <w:rFonts w:ascii="Times New Roman" w:hAnsi="Times New Roman" w:eastAsia="宋体"/>
          <w:b w:val="0"/>
          <w:sz w:val="19"/>
        </w:rPr>
        <w:t>定制成果范围：【逐项列明可分离的定制成果；不能分离的背景技术、通用工具和第三方材料不纳入转让。】</w:t>
      </w:r>
    </w:p>
    <w:p>
      <w:pPr>
        <w:keepNext w:val="0"/>
        <w:spacing w:before="0" w:after="60" w:line="300" w:lineRule="auto"/>
      </w:pPr>
      <w:r>
        <w:rPr>
          <w:rFonts w:ascii="Times New Roman" w:hAnsi="Times New Roman" w:eastAsia="宋体"/>
          <w:b w:val="0"/>
          <w:sz w:val="19"/>
        </w:rPr>
        <w:t>背景知识产权许可：【如甲方需要使用乙方背景知识产权运营定制成果，列明许可权利种类、地域、期限、是否可再许可和费用。】</w:t>
      </w:r>
    </w:p>
    <w:p>
      <w:pPr>
        <w:pStyle w:val="Heading2"/>
      </w:pPr>
      <w:r>
        <w:t>八、数据、保密与安全</w:t>
      </w:r>
    </w:p>
    <w:p>
      <w:pPr>
        <w:keepNext w:val="0"/>
        <w:spacing w:before="0" w:after="60" w:line="300" w:lineRule="auto"/>
      </w:pPr>
      <w:r>
        <w:rPr>
          <w:rFonts w:ascii="Times New Roman" w:hAnsi="Times New Roman" w:eastAsia="宋体"/>
          <w:b w:val="0"/>
          <w:sz w:val="19"/>
        </w:rPr>
        <w:t>【是否接触个人信息/甲方数据；数据类别、范围、处理目的、保存期限、访问人员、安全措施、是否涉及跨境。涉及个人信息委托处理的，必须另签数据处理协议并完成影响评估。】</w:t>
      </w:r>
    </w:p>
    <w:p>
      <w:pPr>
        <w:pStyle w:val="Heading2"/>
      </w:pPr>
      <w:r>
        <w:t>九、假设、依赖与变更控制</w:t>
      </w:r>
    </w:p>
    <w:p>
      <w:pPr>
        <w:keepNext w:val="0"/>
        <w:spacing w:before="0" w:after="60" w:line="300" w:lineRule="auto"/>
      </w:pPr>
      <w:r>
        <w:rPr>
          <w:rFonts w:ascii="Times New Roman" w:hAnsi="Times New Roman" w:eastAsia="宋体"/>
          <w:b w:val="0"/>
          <w:sz w:val="19"/>
        </w:rPr>
        <w:t>【列出编制 SOW 时依赖的假设；变更必须使用附件三变更单，不得以邮件或会议纪要替代。】</w:t>
      </w:r>
    </w:p>
    <w:p>
      <w:pPr>
        <w:keepNext w:val="0"/>
        <w:spacing w:before="0" w:after="60" w:line="300" w:lineRule="auto"/>
      </w:pPr>
      <w:r>
        <w:rPr>
          <w:rFonts w:ascii="Times New Roman" w:hAnsi="Times New Roman" w:eastAsia="宋体"/>
          <w:b/>
          <w:sz w:val="19"/>
        </w:rPr>
        <w:t>双方确认本工作说明书与主合同同时签署，并作为主合同不可分割的组成部分。</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3137"/>
        <w:gridCol w:w="3137"/>
        <w:gridCol w:w="3137"/>
      </w:tblGrid>
      <w:tr>
        <w:trPr>
          <w:tblHeader w:val="true"/>
        </w:trPr>
        <w:tc>
          <w:tcPr>
            <w:tcW w:type="dxa" w:w="3402"/>
            <w:vAlign w:val="center"/>
            <w:tcMar>
              <w:top w:w="60" w:type="dxa"/>
              <w:start w:w="90" w:type="dxa"/>
              <w:bottom w:w="60" w:type="dxa"/>
              <w:end w:w="90" w:type="dxa"/>
            </w:tcMar>
            <w:shd w:fill="1F4E79"/>
          </w:tcPr>
          <w:p>
            <w:pPr>
              <w:spacing w:after="0"/>
              <w:jc w:val="center"/>
            </w:pPr>
            <w:r>
              <w:rPr>
                <w:rFonts w:ascii="黑体" w:hAnsi="黑体" w:eastAsia="黑体"/>
                <w:b/>
                <w:color w:val="FFFFFF"/>
                <w:sz w:val="19"/>
              </w:rPr>
              <w:t>甲方（盖章）</w:t>
            </w:r>
          </w:p>
        </w:tc>
        <w:tc>
          <w:tcPr>
            <w:tcW w:type="dxa" w:w="2551"/>
            <w:vAlign w:val="center"/>
            <w:tcMar>
              <w:top w:w="60" w:type="dxa"/>
              <w:start w:w="90" w:type="dxa"/>
              <w:bottom w:w="60" w:type="dxa"/>
              <w:end w:w="90" w:type="dxa"/>
            </w:tcMar>
            <w:shd w:fill="1F4E79"/>
          </w:tcPr>
          <w:p>
            <w:pPr>
              <w:spacing w:after="0"/>
              <w:jc w:val="center"/>
            </w:pPr>
            <w:r>
              <w:rPr>
                <w:rFonts w:ascii="黑体" w:hAnsi="黑体" w:eastAsia="黑体"/>
                <w:b/>
                <w:color w:val="FFFFFF"/>
                <w:sz w:val="19"/>
              </w:rPr>
              <w:t>乙方（盖章）</w:t>
            </w:r>
          </w:p>
        </w:tc>
        <w:tc>
          <w:tcPr>
            <w:tcW w:type="dxa" w:w="2551"/>
            <w:vAlign w:val="center"/>
            <w:tcMar>
              <w:top w:w="60" w:type="dxa"/>
              <w:start w:w="90" w:type="dxa"/>
              <w:bottom w:w="60" w:type="dxa"/>
              <w:end w:w="90" w:type="dxa"/>
            </w:tcMar>
            <w:shd w:fill="1F4E79"/>
          </w:tcPr>
          <w:p>
            <w:pPr>
              <w:spacing w:after="0"/>
              <w:jc w:val="center"/>
            </w:pPr>
            <w:r>
              <w:rPr>
                <w:rFonts w:ascii="黑体" w:hAnsi="黑体" w:eastAsia="黑体"/>
                <w:b/>
                <w:color w:val="FFFFFF"/>
                <w:sz w:val="19"/>
              </w:rPr>
              <w:t>日期</w:t>
            </w:r>
          </w:p>
        </w:tc>
      </w:tr>
      <w:tr>
        <w:trPr>
          <w:cantSplit/>
        </w:trPr>
        <w:tc>
          <w:tcPr>
            <w:tcW w:type="dxa" w:w="3402"/>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w:t>
            </w:r>
          </w:p>
        </w:tc>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w:t>
            </w:r>
          </w:p>
        </w:tc>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val="0"/>
                <w:sz w:val="19"/>
              </w:rPr>
              <w:t>【年】年【月】月【日】日</w:t>
            </w:r>
          </w:p>
        </w:tc>
      </w:tr>
    </w:tbl>
    <w:p>
      <w:pPr>
        <w:spacing w:after="60" w:line="300" w:lineRule="auto"/>
      </w:pPr>
    </w:p>
    <w:p>
      <w:pPr>
        <w:spacing w:after="60" w:line="300" w:lineRule="auto"/>
      </w:pPr>
      <w:r>
        <w:br w:type="page"/>
      </w:r>
    </w:p>
    <w:p>
      <w:pPr>
        <w:pStyle w:val="Heading1"/>
      </w:pPr>
      <w:r>
        <w:t>附件二  验收单</w:t>
      </w:r>
    </w:p>
    <w:p>
      <w:pPr>
        <w:keepNext w:val="0"/>
        <w:spacing w:before="0" w:after="60" w:line="300" w:lineRule="auto"/>
      </w:pPr>
      <w:r>
        <w:rPr>
          <w:rFonts w:ascii="Times New Roman" w:hAnsi="Times New Roman" w:eastAsia="宋体"/>
          <w:b w:val="0"/>
          <w:color w:val="404040"/>
          <w:sz w:val="19"/>
        </w:rPr>
        <w:t>本验收单只记录验收事实、缺陷、整改和关闭情况，不改变主合同或工作说明书。如需变更范围、价款、工期或验收标准，应签署变更单。</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4706"/>
        <w:gridCol w:w="4706"/>
      </w:tblGrid>
      <w:tr>
        <w:trPr>
          <w:tblHeader w:val="true"/>
        </w:trPr>
        <w:tc>
          <w:tcPr>
            <w:tcW w:type="dxa" w:w="2551"/>
            <w:vAlign w:val="center"/>
            <w:tcMar>
              <w:top w:w="60" w:type="dxa"/>
              <w:start w:w="90" w:type="dxa"/>
              <w:bottom w:w="60" w:type="dxa"/>
              <w:end w:w="90" w:type="dxa"/>
            </w:tcMar>
            <w:shd w:fill="1F4E79"/>
          </w:tcPr>
          <w:p>
            <w:pPr>
              <w:spacing w:after="0"/>
              <w:jc w:val="center"/>
            </w:pPr>
            <w:r>
              <w:rPr>
                <w:rFonts w:ascii="黑体" w:hAnsi="黑体" w:eastAsia="黑体"/>
                <w:b/>
                <w:color w:val="FFFFFF"/>
                <w:sz w:val="19"/>
              </w:rPr>
              <w:t>项目</w:t>
            </w:r>
          </w:p>
        </w:tc>
        <w:tc>
          <w:tcPr>
            <w:tcW w:type="dxa" w:w="5953"/>
            <w:vAlign w:val="center"/>
            <w:tcMar>
              <w:top w:w="60" w:type="dxa"/>
              <w:start w:w="90" w:type="dxa"/>
              <w:bottom w:w="60" w:type="dxa"/>
              <w:end w:w="90" w:type="dxa"/>
            </w:tcMar>
            <w:shd w:fill="1F4E79"/>
          </w:tcPr>
          <w:p>
            <w:pPr>
              <w:spacing w:after="0"/>
              <w:jc w:val="center"/>
            </w:pPr>
            <w:r>
              <w:rPr>
                <w:rFonts w:ascii="黑体" w:hAnsi="黑体" w:eastAsia="黑体"/>
                <w:b/>
                <w:color w:val="FFFFFF"/>
                <w:sz w:val="19"/>
              </w:rPr>
              <w:t>内容</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验收单编号</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合同编号/SOW 编号</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 / 【填写】</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交付物名称/版本</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提交日期/提交人</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验收日期/验收人</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验收依据</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【SOW 条款、验收标准、测试/演示记录】</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验收结论</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 合格   ☐ 不合格   ☐ 有条件合格（仅限第 4.4 条情形）</w:t>
            </w:r>
          </w:p>
        </w:tc>
      </w:tr>
    </w:tbl>
    <w:p>
      <w:pPr>
        <w:spacing w:after="60" w:line="300" w:lineRule="auto"/>
      </w:pPr>
    </w:p>
    <w:p>
      <w:pPr>
        <w:pStyle w:val="Heading2"/>
      </w:pPr>
      <w:r>
        <w:t>一、验收检查项</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1882"/>
        <w:gridCol w:w="1882"/>
        <w:gridCol w:w="1882"/>
        <w:gridCol w:w="1882"/>
        <w:gridCol w:w="1882"/>
      </w:tblGrid>
      <w:tr>
        <w:trPr>
          <w:tblHeader w:val="true"/>
        </w:trPr>
        <w:tc>
          <w:tcPr>
            <w:tcW w:type="dxa" w:w="567"/>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序号</w:t>
            </w:r>
          </w:p>
        </w:tc>
        <w:tc>
          <w:tcPr>
            <w:tcW w:type="dxa" w:w="3061"/>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检查项</w:t>
            </w:r>
          </w:p>
        </w:tc>
        <w:tc>
          <w:tcPr>
            <w:tcW w:type="dxa" w:w="2835"/>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标准</w:t>
            </w:r>
          </w:p>
        </w:tc>
        <w:tc>
          <w:tcPr>
            <w:tcW w:type="dxa" w:w="1361"/>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结果</w:t>
            </w:r>
          </w:p>
        </w:tc>
        <w:tc>
          <w:tcPr>
            <w:tcW w:type="dxa" w:w="1814"/>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证据/说明</w:t>
            </w:r>
          </w:p>
        </w:tc>
      </w:tr>
      <w:tr>
        <w:trPr>
          <w:cantSplit/>
        </w:trPr>
        <w:tc>
          <w:tcPr>
            <w:tcW w:type="dxa" w:w="567"/>
            <w:vAlign w:val="center"/>
            <w:tcMar>
              <w:top w:w="60" w:type="dxa"/>
              <w:start w:w="90" w:type="dxa"/>
              <w:bottom w:w="60" w:type="dxa"/>
              <w:end w:w="90" w:type="dxa"/>
            </w:tcMar>
          </w:tcPr>
          <w:p>
            <w:pPr>
              <w:spacing w:after="0" w:line="276" w:lineRule="auto"/>
              <w:jc w:val="center"/>
            </w:pPr>
            <w:r>
              <w:rPr>
                <w:rFonts w:ascii="Times New Roman" w:hAnsi="Times New Roman" w:eastAsia="宋体"/>
                <w:b w:val="0"/>
                <w:sz w:val="17"/>
              </w:rPr>
              <w:t>1</w:t>
            </w:r>
          </w:p>
        </w:tc>
        <w:tc>
          <w:tcPr>
            <w:tcW w:type="dxa" w:w="3061"/>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2835"/>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361"/>
            <w:vAlign w:val="center"/>
            <w:tcMar>
              <w:top w:w="60" w:type="dxa"/>
              <w:start w:w="90" w:type="dxa"/>
              <w:bottom w:w="60" w:type="dxa"/>
              <w:end w:w="90" w:type="dxa"/>
            </w:tcMar>
          </w:tcPr>
          <w:p>
            <w:pPr>
              <w:spacing w:after="0" w:line="276" w:lineRule="auto"/>
            </w:pPr>
            <w:r>
              <w:rPr>
                <w:rFonts w:ascii="Times New Roman" w:hAnsi="Times New Roman" w:eastAsia="宋体"/>
                <w:b w:val="0"/>
                <w:sz w:val="17"/>
              </w:rPr>
              <w:t>【通过/不通过/不适用】</w:t>
            </w:r>
          </w:p>
        </w:tc>
        <w:tc>
          <w:tcPr>
            <w:tcW w:type="dxa" w:w="1814"/>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r>
      <w:tr>
        <w:trPr>
          <w:cantSplit/>
        </w:trPr>
        <w:tc>
          <w:tcPr>
            <w:tcW w:type="dxa" w:w="567"/>
            <w:vAlign w:val="center"/>
            <w:tcMar>
              <w:top w:w="60" w:type="dxa"/>
              <w:start w:w="90" w:type="dxa"/>
              <w:bottom w:w="60" w:type="dxa"/>
              <w:end w:w="90" w:type="dxa"/>
            </w:tcMar>
          </w:tcPr>
          <w:p>
            <w:pPr>
              <w:spacing w:after="0" w:line="276" w:lineRule="auto"/>
              <w:jc w:val="center"/>
            </w:pPr>
            <w:r>
              <w:rPr>
                <w:rFonts w:ascii="Times New Roman" w:hAnsi="Times New Roman" w:eastAsia="宋体"/>
                <w:b w:val="0"/>
                <w:sz w:val="17"/>
              </w:rPr>
              <w:t>2</w:t>
            </w:r>
          </w:p>
        </w:tc>
        <w:tc>
          <w:tcPr>
            <w:tcW w:type="dxa" w:w="3061"/>
            <w:vAlign w:val="center"/>
            <w:tcMar>
              <w:top w:w="60" w:type="dxa"/>
              <w:start w:w="90" w:type="dxa"/>
              <w:bottom w:w="60" w:type="dxa"/>
              <w:end w:w="90" w:type="dxa"/>
            </w:tcMar>
          </w:tcPr>
          <w:p>
            <w:pPr>
              <w:spacing w:after="0" w:line="276" w:lineRule="auto"/>
            </w:pPr>
            <w:r>
              <w:rPr>
                <w:rFonts w:ascii="Times New Roman" w:hAnsi="Times New Roman" w:eastAsia="宋体"/>
                <w:b w:val="0"/>
                <w:sz w:val="17"/>
              </w:rPr>
            </w:r>
          </w:p>
        </w:tc>
        <w:tc>
          <w:tcPr>
            <w:tcW w:type="dxa" w:w="2835"/>
            <w:vAlign w:val="center"/>
            <w:tcMar>
              <w:top w:w="60" w:type="dxa"/>
              <w:start w:w="90" w:type="dxa"/>
              <w:bottom w:w="60" w:type="dxa"/>
              <w:end w:w="90" w:type="dxa"/>
            </w:tcMar>
          </w:tcPr>
          <w:p>
            <w:pPr>
              <w:spacing w:after="0" w:line="276" w:lineRule="auto"/>
            </w:pPr>
            <w:r>
              <w:rPr>
                <w:rFonts w:ascii="Times New Roman" w:hAnsi="Times New Roman" w:eastAsia="宋体"/>
                <w:b w:val="0"/>
                <w:sz w:val="17"/>
              </w:rPr>
            </w:r>
          </w:p>
        </w:tc>
        <w:tc>
          <w:tcPr>
            <w:tcW w:type="dxa" w:w="1361"/>
            <w:vAlign w:val="center"/>
            <w:tcMar>
              <w:top w:w="60" w:type="dxa"/>
              <w:start w:w="90" w:type="dxa"/>
              <w:bottom w:w="60" w:type="dxa"/>
              <w:end w:w="90" w:type="dxa"/>
            </w:tcMar>
          </w:tcPr>
          <w:p>
            <w:pPr>
              <w:spacing w:after="0" w:line="276" w:lineRule="auto"/>
            </w:pPr>
            <w:r>
              <w:rPr>
                <w:rFonts w:ascii="Times New Roman" w:hAnsi="Times New Roman" w:eastAsia="宋体"/>
                <w:b w:val="0"/>
                <w:sz w:val="17"/>
              </w:rPr>
            </w:r>
          </w:p>
        </w:tc>
        <w:tc>
          <w:tcPr>
            <w:tcW w:type="dxa" w:w="1814"/>
            <w:vAlign w:val="center"/>
            <w:tcMar>
              <w:top w:w="60" w:type="dxa"/>
              <w:start w:w="90" w:type="dxa"/>
              <w:bottom w:w="60" w:type="dxa"/>
              <w:end w:w="90" w:type="dxa"/>
            </w:tcMar>
          </w:tcPr>
          <w:p>
            <w:pPr>
              <w:spacing w:after="0" w:line="276" w:lineRule="auto"/>
            </w:pPr>
            <w:r>
              <w:rPr>
                <w:rFonts w:ascii="Times New Roman" w:hAnsi="Times New Roman" w:eastAsia="宋体"/>
                <w:b w:val="0"/>
                <w:sz w:val="17"/>
              </w:rPr>
            </w:r>
          </w:p>
        </w:tc>
      </w:tr>
      <w:tr>
        <w:trPr>
          <w:cantSplit/>
        </w:trPr>
        <w:tc>
          <w:tcPr>
            <w:tcW w:type="dxa" w:w="567"/>
            <w:vAlign w:val="center"/>
            <w:tcMar>
              <w:top w:w="60" w:type="dxa"/>
              <w:start w:w="90" w:type="dxa"/>
              <w:bottom w:w="60" w:type="dxa"/>
              <w:end w:w="90" w:type="dxa"/>
            </w:tcMar>
          </w:tcPr>
          <w:p>
            <w:pPr>
              <w:spacing w:after="0" w:line="276" w:lineRule="auto"/>
              <w:jc w:val="center"/>
            </w:pPr>
            <w:r>
              <w:rPr>
                <w:rFonts w:ascii="Times New Roman" w:hAnsi="Times New Roman" w:eastAsia="宋体"/>
                <w:b w:val="0"/>
                <w:sz w:val="17"/>
              </w:rPr>
              <w:t>3</w:t>
            </w:r>
          </w:p>
        </w:tc>
        <w:tc>
          <w:tcPr>
            <w:tcW w:type="dxa" w:w="3061"/>
            <w:vAlign w:val="center"/>
            <w:tcMar>
              <w:top w:w="60" w:type="dxa"/>
              <w:start w:w="90" w:type="dxa"/>
              <w:bottom w:w="60" w:type="dxa"/>
              <w:end w:w="90" w:type="dxa"/>
            </w:tcMar>
          </w:tcPr>
          <w:p>
            <w:pPr>
              <w:spacing w:after="0" w:line="276" w:lineRule="auto"/>
            </w:pPr>
            <w:r>
              <w:rPr>
                <w:rFonts w:ascii="Times New Roman" w:hAnsi="Times New Roman" w:eastAsia="宋体"/>
                <w:b w:val="0"/>
                <w:sz w:val="17"/>
              </w:rPr>
            </w:r>
          </w:p>
        </w:tc>
        <w:tc>
          <w:tcPr>
            <w:tcW w:type="dxa" w:w="2835"/>
            <w:vAlign w:val="center"/>
            <w:tcMar>
              <w:top w:w="60" w:type="dxa"/>
              <w:start w:w="90" w:type="dxa"/>
              <w:bottom w:w="60" w:type="dxa"/>
              <w:end w:w="90" w:type="dxa"/>
            </w:tcMar>
          </w:tcPr>
          <w:p>
            <w:pPr>
              <w:spacing w:after="0" w:line="276" w:lineRule="auto"/>
            </w:pPr>
            <w:r>
              <w:rPr>
                <w:rFonts w:ascii="Times New Roman" w:hAnsi="Times New Roman" w:eastAsia="宋体"/>
                <w:b w:val="0"/>
                <w:sz w:val="17"/>
              </w:rPr>
            </w:r>
          </w:p>
        </w:tc>
        <w:tc>
          <w:tcPr>
            <w:tcW w:type="dxa" w:w="1361"/>
            <w:vAlign w:val="center"/>
            <w:tcMar>
              <w:top w:w="60" w:type="dxa"/>
              <w:start w:w="90" w:type="dxa"/>
              <w:bottom w:w="60" w:type="dxa"/>
              <w:end w:w="90" w:type="dxa"/>
            </w:tcMar>
          </w:tcPr>
          <w:p>
            <w:pPr>
              <w:spacing w:after="0" w:line="276" w:lineRule="auto"/>
            </w:pPr>
            <w:r>
              <w:rPr>
                <w:rFonts w:ascii="Times New Roman" w:hAnsi="Times New Roman" w:eastAsia="宋体"/>
                <w:b w:val="0"/>
                <w:sz w:val="17"/>
              </w:rPr>
            </w:r>
          </w:p>
        </w:tc>
        <w:tc>
          <w:tcPr>
            <w:tcW w:type="dxa" w:w="1814"/>
            <w:vAlign w:val="center"/>
            <w:tcMar>
              <w:top w:w="60" w:type="dxa"/>
              <w:start w:w="90" w:type="dxa"/>
              <w:bottom w:w="60" w:type="dxa"/>
              <w:end w:w="90" w:type="dxa"/>
            </w:tcMar>
          </w:tcPr>
          <w:p>
            <w:pPr>
              <w:spacing w:after="0" w:line="276" w:lineRule="auto"/>
            </w:pPr>
            <w:r>
              <w:rPr>
                <w:rFonts w:ascii="Times New Roman" w:hAnsi="Times New Roman" w:eastAsia="宋体"/>
                <w:b w:val="0"/>
                <w:sz w:val="17"/>
              </w:rPr>
            </w:r>
          </w:p>
        </w:tc>
      </w:tr>
    </w:tbl>
    <w:p>
      <w:pPr>
        <w:spacing w:after="60" w:line="300" w:lineRule="auto"/>
      </w:pPr>
    </w:p>
    <w:p>
      <w:pPr>
        <w:pStyle w:val="Heading2"/>
      </w:pPr>
      <w:r>
        <w:t>二、缺陷与整改</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1176"/>
        <w:gridCol w:w="1176"/>
        <w:gridCol w:w="1176"/>
        <w:gridCol w:w="1176"/>
        <w:gridCol w:w="1176"/>
        <w:gridCol w:w="1176"/>
        <w:gridCol w:w="1176"/>
        <w:gridCol w:w="1176"/>
      </w:tblGrid>
      <w:tr>
        <w:trPr>
          <w:tblHeader w:val="true"/>
        </w:trPr>
        <w:tc>
          <w:tcPr>
            <w:tcW w:type="dxa" w:w="794"/>
            <w:vAlign w:val="center"/>
            <w:tcMar>
              <w:top w:w="60" w:type="dxa"/>
              <w:start w:w="90" w:type="dxa"/>
              <w:bottom w:w="60" w:type="dxa"/>
              <w:end w:w="90" w:type="dxa"/>
            </w:tcMar>
            <w:shd w:fill="1F4E79"/>
          </w:tcPr>
          <w:p>
            <w:pPr>
              <w:spacing w:after="0"/>
              <w:jc w:val="center"/>
            </w:pPr>
            <w:r>
              <w:rPr>
                <w:rFonts w:ascii="黑体" w:hAnsi="黑体" w:eastAsia="黑体"/>
                <w:b/>
                <w:color w:val="FFFFFF"/>
                <w:sz w:val="16"/>
              </w:rPr>
              <w:t>缺陷编号</w:t>
            </w:r>
          </w:p>
        </w:tc>
        <w:tc>
          <w:tcPr>
            <w:tcW w:type="dxa" w:w="1928"/>
            <w:vAlign w:val="center"/>
            <w:tcMar>
              <w:top w:w="60" w:type="dxa"/>
              <w:start w:w="90" w:type="dxa"/>
              <w:bottom w:w="60" w:type="dxa"/>
              <w:end w:w="90" w:type="dxa"/>
            </w:tcMar>
            <w:shd w:fill="1F4E79"/>
          </w:tcPr>
          <w:p>
            <w:pPr>
              <w:spacing w:after="0"/>
              <w:jc w:val="center"/>
            </w:pPr>
            <w:r>
              <w:rPr>
                <w:rFonts w:ascii="黑体" w:hAnsi="黑体" w:eastAsia="黑体"/>
                <w:b/>
                <w:color w:val="FFFFFF"/>
                <w:sz w:val="16"/>
              </w:rPr>
              <w:t>描述</w:t>
            </w:r>
          </w:p>
        </w:tc>
        <w:tc>
          <w:tcPr>
            <w:tcW w:type="dxa" w:w="1020"/>
            <w:vAlign w:val="center"/>
            <w:tcMar>
              <w:top w:w="60" w:type="dxa"/>
              <w:start w:w="90" w:type="dxa"/>
              <w:bottom w:w="60" w:type="dxa"/>
              <w:end w:w="90" w:type="dxa"/>
            </w:tcMar>
            <w:shd w:fill="1F4E79"/>
          </w:tcPr>
          <w:p>
            <w:pPr>
              <w:spacing w:after="0"/>
              <w:jc w:val="center"/>
            </w:pPr>
            <w:r>
              <w:rPr>
                <w:rFonts w:ascii="黑体" w:hAnsi="黑体" w:eastAsia="黑体"/>
                <w:b/>
                <w:color w:val="FFFFFF"/>
                <w:sz w:val="16"/>
              </w:rPr>
              <w:t>严重程度</w:t>
            </w:r>
          </w:p>
        </w:tc>
        <w:tc>
          <w:tcPr>
            <w:tcW w:type="dxa" w:w="1361"/>
            <w:vAlign w:val="center"/>
            <w:tcMar>
              <w:top w:w="60" w:type="dxa"/>
              <w:start w:w="90" w:type="dxa"/>
              <w:bottom w:w="60" w:type="dxa"/>
              <w:end w:w="90" w:type="dxa"/>
            </w:tcMar>
            <w:shd w:fill="1F4E79"/>
          </w:tcPr>
          <w:p>
            <w:pPr>
              <w:spacing w:after="0"/>
              <w:jc w:val="center"/>
            </w:pPr>
            <w:r>
              <w:rPr>
                <w:rFonts w:ascii="黑体" w:hAnsi="黑体" w:eastAsia="黑体"/>
                <w:b/>
                <w:color w:val="FFFFFF"/>
                <w:sz w:val="16"/>
              </w:rPr>
              <w:t>违反的标准</w:t>
            </w:r>
          </w:p>
        </w:tc>
        <w:tc>
          <w:tcPr>
            <w:tcW w:type="dxa" w:w="1474"/>
            <w:vAlign w:val="center"/>
            <w:tcMar>
              <w:top w:w="60" w:type="dxa"/>
              <w:start w:w="90" w:type="dxa"/>
              <w:bottom w:w="60" w:type="dxa"/>
              <w:end w:w="90" w:type="dxa"/>
            </w:tcMar>
            <w:shd w:fill="1F4E79"/>
          </w:tcPr>
          <w:p>
            <w:pPr>
              <w:spacing w:after="0"/>
              <w:jc w:val="center"/>
            </w:pPr>
            <w:r>
              <w:rPr>
                <w:rFonts w:ascii="黑体" w:hAnsi="黑体" w:eastAsia="黑体"/>
                <w:b/>
                <w:color w:val="FFFFFF"/>
                <w:sz w:val="16"/>
              </w:rPr>
              <w:t>整改要求</w:t>
            </w:r>
          </w:p>
        </w:tc>
        <w:tc>
          <w:tcPr>
            <w:tcW w:type="dxa" w:w="907"/>
            <w:vAlign w:val="center"/>
            <w:tcMar>
              <w:top w:w="60" w:type="dxa"/>
              <w:start w:w="90" w:type="dxa"/>
              <w:bottom w:w="60" w:type="dxa"/>
              <w:end w:w="90" w:type="dxa"/>
            </w:tcMar>
            <w:shd w:fill="1F4E79"/>
          </w:tcPr>
          <w:p>
            <w:pPr>
              <w:spacing w:after="0"/>
              <w:jc w:val="center"/>
            </w:pPr>
            <w:r>
              <w:rPr>
                <w:rFonts w:ascii="黑体" w:hAnsi="黑体" w:eastAsia="黑体"/>
                <w:b/>
                <w:color w:val="FFFFFF"/>
                <w:sz w:val="16"/>
              </w:rPr>
              <w:t>整改期限</w:t>
            </w:r>
          </w:p>
        </w:tc>
        <w:tc>
          <w:tcPr>
            <w:tcW w:type="dxa" w:w="794"/>
            <w:vAlign w:val="center"/>
            <w:tcMar>
              <w:top w:w="60" w:type="dxa"/>
              <w:start w:w="90" w:type="dxa"/>
              <w:bottom w:w="60" w:type="dxa"/>
              <w:end w:w="90" w:type="dxa"/>
            </w:tcMar>
            <w:shd w:fill="1F4E79"/>
          </w:tcPr>
          <w:p>
            <w:pPr>
              <w:spacing w:after="0"/>
              <w:jc w:val="center"/>
            </w:pPr>
            <w:r>
              <w:rPr>
                <w:rFonts w:ascii="黑体" w:hAnsi="黑体" w:eastAsia="黑体"/>
                <w:b/>
                <w:color w:val="FFFFFF"/>
                <w:sz w:val="16"/>
              </w:rPr>
              <w:t>责任人</w:t>
            </w:r>
          </w:p>
        </w:tc>
        <w:tc>
          <w:tcPr>
            <w:tcW w:type="dxa" w:w="907"/>
            <w:vAlign w:val="center"/>
            <w:tcMar>
              <w:top w:w="60" w:type="dxa"/>
              <w:start w:w="90" w:type="dxa"/>
              <w:bottom w:w="60" w:type="dxa"/>
              <w:end w:w="90" w:type="dxa"/>
            </w:tcMar>
            <w:shd w:fill="1F4E79"/>
          </w:tcPr>
          <w:p>
            <w:pPr>
              <w:spacing w:after="0"/>
              <w:jc w:val="center"/>
            </w:pPr>
            <w:r>
              <w:rPr>
                <w:rFonts w:ascii="黑体" w:hAnsi="黑体" w:eastAsia="黑体"/>
                <w:b/>
                <w:color w:val="FFFFFF"/>
                <w:sz w:val="16"/>
              </w:rPr>
              <w:t>复验结果</w:t>
            </w:r>
          </w:p>
        </w:tc>
      </w:tr>
      <w:tr>
        <w:trPr>
          <w:cantSplit/>
        </w:trPr>
        <w:tc>
          <w:tcPr>
            <w:tcW w:type="dxa" w:w="794"/>
            <w:vAlign w:val="center"/>
            <w:tcMar>
              <w:top w:w="60" w:type="dxa"/>
              <w:start w:w="90" w:type="dxa"/>
              <w:bottom w:w="60" w:type="dxa"/>
              <w:end w:w="90" w:type="dxa"/>
            </w:tcMar>
          </w:tcPr>
          <w:p>
            <w:pPr>
              <w:spacing w:after="0" w:line="276" w:lineRule="auto"/>
            </w:pPr>
            <w:r>
              <w:rPr>
                <w:rFonts w:ascii="Times New Roman" w:hAnsi="Times New Roman" w:eastAsia="宋体"/>
                <w:b w:val="0"/>
                <w:sz w:val="16"/>
              </w:rPr>
              <w:t>D-01</w:t>
            </w:r>
          </w:p>
        </w:tc>
        <w:tc>
          <w:tcPr>
            <w:tcW w:type="dxa" w:w="1928"/>
            <w:vAlign w:val="center"/>
            <w:tcMar>
              <w:top w:w="60" w:type="dxa"/>
              <w:start w:w="90" w:type="dxa"/>
              <w:bottom w:w="60" w:type="dxa"/>
              <w:end w:w="90" w:type="dxa"/>
            </w:tcMar>
          </w:tcPr>
          <w:p>
            <w:pPr>
              <w:spacing w:after="0" w:line="276" w:lineRule="auto"/>
            </w:pPr>
            <w:r>
              <w:rPr>
                <w:rFonts w:ascii="Times New Roman" w:hAnsi="Times New Roman" w:eastAsia="宋体"/>
                <w:b w:val="0"/>
                <w:sz w:val="16"/>
              </w:rPr>
              <w:t>【填写】</w:t>
            </w:r>
          </w:p>
        </w:tc>
        <w:tc>
          <w:tcPr>
            <w:tcW w:type="dxa" w:w="1020"/>
            <w:vAlign w:val="center"/>
            <w:tcMar>
              <w:top w:w="60" w:type="dxa"/>
              <w:start w:w="90" w:type="dxa"/>
              <w:bottom w:w="60" w:type="dxa"/>
              <w:end w:w="90" w:type="dxa"/>
            </w:tcMar>
          </w:tcPr>
          <w:p>
            <w:pPr>
              <w:spacing w:after="0" w:line="276" w:lineRule="auto"/>
            </w:pPr>
            <w:r>
              <w:rPr>
                <w:rFonts w:ascii="Times New Roman" w:hAnsi="Times New Roman" w:eastAsia="宋体"/>
                <w:b w:val="0"/>
                <w:sz w:val="16"/>
              </w:rPr>
              <w:t>【重大/一般/轻微】</w:t>
            </w:r>
          </w:p>
        </w:tc>
        <w:tc>
          <w:tcPr>
            <w:tcW w:type="dxa" w:w="1361"/>
            <w:vAlign w:val="center"/>
            <w:tcMar>
              <w:top w:w="60" w:type="dxa"/>
              <w:start w:w="90" w:type="dxa"/>
              <w:bottom w:w="60" w:type="dxa"/>
              <w:end w:w="90" w:type="dxa"/>
            </w:tcMar>
          </w:tcPr>
          <w:p>
            <w:pPr>
              <w:spacing w:after="0" w:line="276" w:lineRule="auto"/>
            </w:pPr>
            <w:r>
              <w:rPr>
                <w:rFonts w:ascii="Times New Roman" w:hAnsi="Times New Roman" w:eastAsia="宋体"/>
                <w:b w:val="0"/>
                <w:sz w:val="16"/>
              </w:rPr>
              <w:t>【填写】</w:t>
            </w:r>
          </w:p>
        </w:tc>
        <w:tc>
          <w:tcPr>
            <w:tcW w:type="dxa" w:w="1474"/>
            <w:vAlign w:val="center"/>
            <w:tcMar>
              <w:top w:w="60" w:type="dxa"/>
              <w:start w:w="90" w:type="dxa"/>
              <w:bottom w:w="60" w:type="dxa"/>
              <w:end w:w="90" w:type="dxa"/>
            </w:tcMar>
          </w:tcPr>
          <w:p>
            <w:pPr>
              <w:spacing w:after="0" w:line="276" w:lineRule="auto"/>
            </w:pPr>
            <w:r>
              <w:rPr>
                <w:rFonts w:ascii="Times New Roman" w:hAnsi="Times New Roman" w:eastAsia="宋体"/>
                <w:b w:val="0"/>
                <w:sz w:val="16"/>
              </w:rPr>
              <w:t>【填写】</w:t>
            </w:r>
          </w:p>
        </w:tc>
        <w:tc>
          <w:tcPr>
            <w:tcW w:type="dxa" w:w="907"/>
            <w:vAlign w:val="center"/>
            <w:tcMar>
              <w:top w:w="60" w:type="dxa"/>
              <w:start w:w="90" w:type="dxa"/>
              <w:bottom w:w="60" w:type="dxa"/>
              <w:end w:w="90" w:type="dxa"/>
            </w:tcMar>
          </w:tcPr>
          <w:p>
            <w:pPr>
              <w:spacing w:after="0" w:line="276" w:lineRule="auto"/>
            </w:pPr>
            <w:r>
              <w:rPr>
                <w:rFonts w:ascii="Times New Roman" w:hAnsi="Times New Roman" w:eastAsia="宋体"/>
                <w:b w:val="0"/>
                <w:sz w:val="16"/>
              </w:rPr>
              <w:t>【日期】</w:t>
            </w:r>
          </w:p>
        </w:tc>
        <w:tc>
          <w:tcPr>
            <w:tcW w:type="dxa" w:w="794"/>
            <w:vAlign w:val="center"/>
            <w:tcMar>
              <w:top w:w="60" w:type="dxa"/>
              <w:start w:w="90" w:type="dxa"/>
              <w:bottom w:w="60" w:type="dxa"/>
              <w:end w:w="90" w:type="dxa"/>
            </w:tcMar>
          </w:tcPr>
          <w:p>
            <w:pPr>
              <w:spacing w:after="0" w:line="276" w:lineRule="auto"/>
            </w:pPr>
            <w:r>
              <w:rPr>
                <w:rFonts w:ascii="Times New Roman" w:hAnsi="Times New Roman" w:eastAsia="宋体"/>
                <w:b w:val="0"/>
                <w:sz w:val="16"/>
              </w:rPr>
              <w:t>【填写】</w:t>
            </w:r>
          </w:p>
        </w:tc>
        <w:tc>
          <w:tcPr>
            <w:tcW w:type="dxa" w:w="907"/>
            <w:vAlign w:val="center"/>
            <w:tcMar>
              <w:top w:w="60" w:type="dxa"/>
              <w:start w:w="90" w:type="dxa"/>
              <w:bottom w:w="60" w:type="dxa"/>
              <w:end w:w="90" w:type="dxa"/>
            </w:tcMar>
          </w:tcPr>
          <w:p>
            <w:pPr>
              <w:spacing w:after="0" w:line="276" w:lineRule="auto"/>
            </w:pPr>
            <w:r>
              <w:rPr>
                <w:rFonts w:ascii="Times New Roman" w:hAnsi="Times New Roman" w:eastAsia="宋体"/>
                <w:b w:val="0"/>
                <w:sz w:val="16"/>
              </w:rPr>
              <w:t>【通过/不通过】</w:t>
            </w:r>
          </w:p>
        </w:tc>
      </w:tr>
      <w:tr>
        <w:trPr>
          <w:cantSplit/>
        </w:trPr>
        <w:tc>
          <w:tcPr>
            <w:tcW w:type="dxa" w:w="794"/>
            <w:vAlign w:val="center"/>
            <w:tcMar>
              <w:top w:w="60" w:type="dxa"/>
              <w:start w:w="90" w:type="dxa"/>
              <w:bottom w:w="60" w:type="dxa"/>
              <w:end w:w="90" w:type="dxa"/>
            </w:tcMar>
          </w:tcPr>
          <w:p>
            <w:pPr>
              <w:spacing w:after="0" w:line="276" w:lineRule="auto"/>
            </w:pPr>
            <w:r>
              <w:rPr>
                <w:rFonts w:ascii="Times New Roman" w:hAnsi="Times New Roman" w:eastAsia="宋体"/>
                <w:b w:val="0"/>
                <w:sz w:val="16"/>
              </w:rPr>
              <w:t>D-02</w:t>
            </w:r>
          </w:p>
        </w:tc>
        <w:tc>
          <w:tcPr>
            <w:tcW w:type="dxa" w:w="1928"/>
            <w:vAlign w:val="center"/>
            <w:tcMar>
              <w:top w:w="60" w:type="dxa"/>
              <w:start w:w="90" w:type="dxa"/>
              <w:bottom w:w="60" w:type="dxa"/>
              <w:end w:w="90" w:type="dxa"/>
            </w:tcMar>
          </w:tcPr>
          <w:p>
            <w:pPr>
              <w:spacing w:after="0" w:line="276" w:lineRule="auto"/>
            </w:pPr>
            <w:r>
              <w:rPr>
                <w:rFonts w:ascii="Times New Roman" w:hAnsi="Times New Roman" w:eastAsia="宋体"/>
                <w:b w:val="0"/>
                <w:sz w:val="16"/>
              </w:rPr>
            </w:r>
          </w:p>
        </w:tc>
        <w:tc>
          <w:tcPr>
            <w:tcW w:type="dxa" w:w="1020"/>
            <w:vAlign w:val="center"/>
            <w:tcMar>
              <w:top w:w="60" w:type="dxa"/>
              <w:start w:w="90" w:type="dxa"/>
              <w:bottom w:w="60" w:type="dxa"/>
              <w:end w:w="90" w:type="dxa"/>
            </w:tcMar>
          </w:tcPr>
          <w:p>
            <w:pPr>
              <w:spacing w:after="0" w:line="276" w:lineRule="auto"/>
            </w:pPr>
            <w:r>
              <w:rPr>
                <w:rFonts w:ascii="Times New Roman" w:hAnsi="Times New Roman" w:eastAsia="宋体"/>
                <w:b w:val="0"/>
                <w:sz w:val="16"/>
              </w:rPr>
            </w:r>
          </w:p>
        </w:tc>
        <w:tc>
          <w:tcPr>
            <w:tcW w:type="dxa" w:w="1361"/>
            <w:vAlign w:val="center"/>
            <w:tcMar>
              <w:top w:w="60" w:type="dxa"/>
              <w:start w:w="90" w:type="dxa"/>
              <w:bottom w:w="60" w:type="dxa"/>
              <w:end w:w="90" w:type="dxa"/>
            </w:tcMar>
          </w:tcPr>
          <w:p>
            <w:pPr>
              <w:spacing w:after="0" w:line="276" w:lineRule="auto"/>
            </w:pPr>
            <w:r>
              <w:rPr>
                <w:rFonts w:ascii="Times New Roman" w:hAnsi="Times New Roman" w:eastAsia="宋体"/>
                <w:b w:val="0"/>
                <w:sz w:val="16"/>
              </w:rPr>
            </w:r>
          </w:p>
        </w:tc>
        <w:tc>
          <w:tcPr>
            <w:tcW w:type="dxa" w:w="1474"/>
            <w:vAlign w:val="center"/>
            <w:tcMar>
              <w:top w:w="60" w:type="dxa"/>
              <w:start w:w="90" w:type="dxa"/>
              <w:bottom w:w="60" w:type="dxa"/>
              <w:end w:w="90" w:type="dxa"/>
            </w:tcMar>
          </w:tcPr>
          <w:p>
            <w:pPr>
              <w:spacing w:after="0" w:line="276" w:lineRule="auto"/>
            </w:pPr>
            <w:r>
              <w:rPr>
                <w:rFonts w:ascii="Times New Roman" w:hAnsi="Times New Roman" w:eastAsia="宋体"/>
                <w:b w:val="0"/>
                <w:sz w:val="16"/>
              </w:rPr>
            </w:r>
          </w:p>
        </w:tc>
        <w:tc>
          <w:tcPr>
            <w:tcW w:type="dxa" w:w="907"/>
            <w:vAlign w:val="center"/>
            <w:tcMar>
              <w:top w:w="60" w:type="dxa"/>
              <w:start w:w="90" w:type="dxa"/>
              <w:bottom w:w="60" w:type="dxa"/>
              <w:end w:w="90" w:type="dxa"/>
            </w:tcMar>
          </w:tcPr>
          <w:p>
            <w:pPr>
              <w:spacing w:after="0" w:line="276" w:lineRule="auto"/>
            </w:pPr>
            <w:r>
              <w:rPr>
                <w:rFonts w:ascii="Times New Roman" w:hAnsi="Times New Roman" w:eastAsia="宋体"/>
                <w:b w:val="0"/>
                <w:sz w:val="16"/>
              </w:rPr>
            </w:r>
          </w:p>
        </w:tc>
        <w:tc>
          <w:tcPr>
            <w:tcW w:type="dxa" w:w="794"/>
            <w:vAlign w:val="center"/>
            <w:tcMar>
              <w:top w:w="60" w:type="dxa"/>
              <w:start w:w="90" w:type="dxa"/>
              <w:bottom w:w="60" w:type="dxa"/>
              <w:end w:w="90" w:type="dxa"/>
            </w:tcMar>
          </w:tcPr>
          <w:p>
            <w:pPr>
              <w:spacing w:after="0" w:line="276" w:lineRule="auto"/>
            </w:pPr>
            <w:r>
              <w:rPr>
                <w:rFonts w:ascii="Times New Roman" w:hAnsi="Times New Roman" w:eastAsia="宋体"/>
                <w:b w:val="0"/>
                <w:sz w:val="16"/>
              </w:rPr>
            </w:r>
          </w:p>
        </w:tc>
        <w:tc>
          <w:tcPr>
            <w:tcW w:type="dxa" w:w="907"/>
            <w:vAlign w:val="center"/>
            <w:tcMar>
              <w:top w:w="60" w:type="dxa"/>
              <w:start w:w="90" w:type="dxa"/>
              <w:bottom w:w="60" w:type="dxa"/>
              <w:end w:w="90" w:type="dxa"/>
            </w:tcMar>
          </w:tcPr>
          <w:p>
            <w:pPr>
              <w:spacing w:after="0" w:line="276" w:lineRule="auto"/>
            </w:pPr>
            <w:r>
              <w:rPr>
                <w:rFonts w:ascii="Times New Roman" w:hAnsi="Times New Roman" w:eastAsia="宋体"/>
                <w:b w:val="0"/>
                <w:sz w:val="16"/>
              </w:rPr>
            </w:r>
          </w:p>
        </w:tc>
      </w:tr>
    </w:tbl>
    <w:p>
      <w:pPr>
        <w:spacing w:after="60" w:line="300" w:lineRule="auto"/>
      </w:pPr>
    </w:p>
    <w:p>
      <w:pPr>
        <w:pStyle w:val="Heading2"/>
      </w:pPr>
      <w:r>
        <w:t>三、有条件合格（如适用）</w:t>
      </w:r>
    </w:p>
    <w:p>
      <w:pPr>
        <w:keepNext w:val="0"/>
        <w:spacing w:before="0" w:after="60" w:line="300" w:lineRule="auto"/>
      </w:pPr>
      <w:r>
        <w:rPr>
          <w:rFonts w:ascii="Times New Roman" w:hAnsi="Times New Roman" w:eastAsia="宋体"/>
          <w:b w:val="0"/>
          <w:color w:val="C00000"/>
          <w:sz w:val="18"/>
        </w:rPr>
        <w:t>仅当遗留缺陷不构成重大缺陷、不影响主要功能和业务使用时适用。未约定或不符合条件的，不得以“有条件合格”替代不合格结论。</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1569"/>
        <w:gridCol w:w="1569"/>
        <w:gridCol w:w="1569"/>
        <w:gridCol w:w="1569"/>
        <w:gridCol w:w="1569"/>
        <w:gridCol w:w="1569"/>
      </w:tblGrid>
      <w:tr>
        <w:trPr>
          <w:tblHeader w:val="true"/>
        </w:trPr>
        <w:tc>
          <w:tcPr>
            <w:tcW w:type="dxa" w:w="1928"/>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遗留缺陷</w:t>
            </w:r>
          </w:p>
        </w:tc>
        <w:tc>
          <w:tcPr>
            <w:tcW w:type="dxa" w:w="2268"/>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不影响使用的理由</w:t>
            </w:r>
          </w:p>
        </w:tc>
        <w:tc>
          <w:tcPr>
            <w:tcW w:type="dxa" w:w="1134"/>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整改期限</w:t>
            </w:r>
          </w:p>
        </w:tc>
        <w:tc>
          <w:tcPr>
            <w:tcW w:type="dxa" w:w="1701"/>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付款保留比例/金额</w:t>
            </w:r>
          </w:p>
        </w:tc>
        <w:tc>
          <w:tcPr>
            <w:tcW w:type="dxa" w:w="1020"/>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关闭责任人</w:t>
            </w:r>
          </w:p>
        </w:tc>
        <w:tc>
          <w:tcPr>
            <w:tcW w:type="dxa" w:w="1020"/>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关闭确认日期</w:t>
            </w:r>
          </w:p>
        </w:tc>
      </w:tr>
      <w:tr>
        <w:trPr>
          <w:cantSplit/>
        </w:trPr>
        <w:tc>
          <w:tcPr>
            <w:tcW w:type="dxa" w:w="192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134"/>
            <w:vAlign w:val="center"/>
            <w:tcMar>
              <w:top w:w="60" w:type="dxa"/>
              <w:start w:w="90" w:type="dxa"/>
              <w:bottom w:w="60" w:type="dxa"/>
              <w:end w:w="90" w:type="dxa"/>
            </w:tcMar>
          </w:tcPr>
          <w:p>
            <w:pPr>
              <w:spacing w:after="0" w:line="276" w:lineRule="auto"/>
            </w:pPr>
            <w:r>
              <w:rPr>
                <w:rFonts w:ascii="Times New Roman" w:hAnsi="Times New Roman" w:eastAsia="宋体"/>
                <w:b w:val="0"/>
                <w:sz w:val="17"/>
              </w:rPr>
              <w:t>【日期】</w:t>
            </w:r>
          </w:p>
        </w:tc>
        <w:tc>
          <w:tcPr>
            <w:tcW w:type="dxa" w:w="1701"/>
            <w:vAlign w:val="center"/>
            <w:tcMar>
              <w:top w:w="60" w:type="dxa"/>
              <w:start w:w="90" w:type="dxa"/>
              <w:bottom w:w="60" w:type="dxa"/>
              <w:end w:w="90" w:type="dxa"/>
            </w:tcMar>
          </w:tcPr>
          <w:p>
            <w:pPr>
              <w:spacing w:after="0" w:line="276" w:lineRule="auto"/>
            </w:pPr>
            <w:r>
              <w:rPr>
                <w:rFonts w:ascii="Times New Roman" w:hAnsi="Times New Roman" w:eastAsia="宋体"/>
                <w:b w:val="0"/>
                <w:sz w:val="17"/>
              </w:rPr>
              <w:t>【不超过对应阶段价款的 10%】</w:t>
            </w:r>
          </w:p>
        </w:tc>
        <w:tc>
          <w:tcPr>
            <w:tcW w:type="dxa" w:w="1020"/>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020"/>
            <w:vAlign w:val="center"/>
            <w:tcMar>
              <w:top w:w="60" w:type="dxa"/>
              <w:start w:w="90" w:type="dxa"/>
              <w:bottom w:w="60" w:type="dxa"/>
              <w:end w:w="90" w:type="dxa"/>
            </w:tcMar>
          </w:tcPr>
          <w:p>
            <w:pPr>
              <w:spacing w:after="0" w:line="276" w:lineRule="auto"/>
            </w:pPr>
            <w:r>
              <w:rPr>
                <w:rFonts w:ascii="Times New Roman" w:hAnsi="Times New Roman" w:eastAsia="宋体"/>
                <w:b w:val="0"/>
                <w:sz w:val="17"/>
              </w:rPr>
              <w:t>【日期】</w:t>
            </w:r>
          </w:p>
        </w:tc>
      </w:tr>
    </w:tbl>
    <w:p>
      <w:pPr>
        <w:spacing w:after="60" w:line="300" w:lineRule="auto"/>
      </w:pPr>
    </w:p>
    <w:p>
      <w:pPr>
        <w:pStyle w:val="Heading2"/>
      </w:pPr>
      <w:r>
        <w:t>四、复验与关闭</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1882"/>
        <w:gridCol w:w="1882"/>
        <w:gridCol w:w="1882"/>
        <w:gridCol w:w="1882"/>
        <w:gridCol w:w="1882"/>
      </w:tblGrid>
      <w:tr>
        <w:trPr>
          <w:tblHeader w:val="true"/>
        </w:trPr>
        <w:tc>
          <w:tcPr>
            <w:tcW w:type="dxa" w:w="1587"/>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复验日期</w:t>
            </w:r>
          </w:p>
        </w:tc>
        <w:tc>
          <w:tcPr>
            <w:tcW w:type="dxa" w:w="1587"/>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复验结论</w:t>
            </w:r>
          </w:p>
        </w:tc>
        <w:tc>
          <w:tcPr>
            <w:tcW w:type="dxa" w:w="2494"/>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未关闭事项</w:t>
            </w:r>
          </w:p>
        </w:tc>
        <w:tc>
          <w:tcPr>
            <w:tcW w:type="dxa" w:w="1928"/>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后续安排</w:t>
            </w:r>
          </w:p>
        </w:tc>
        <w:tc>
          <w:tcPr>
            <w:tcW w:type="dxa" w:w="1020"/>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复验人</w:t>
            </w:r>
          </w:p>
        </w:tc>
      </w:tr>
      <w:tr>
        <w:trPr>
          <w:cantSplit/>
        </w:trPr>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587"/>
            <w:vAlign w:val="center"/>
            <w:tcMar>
              <w:top w:w="60" w:type="dxa"/>
              <w:start w:w="90" w:type="dxa"/>
              <w:bottom w:w="60" w:type="dxa"/>
              <w:end w:w="90" w:type="dxa"/>
            </w:tcMar>
          </w:tcPr>
          <w:p>
            <w:pPr>
              <w:spacing w:after="0" w:line="276" w:lineRule="auto"/>
            </w:pPr>
            <w:r>
              <w:rPr>
                <w:rFonts w:ascii="Times New Roman" w:hAnsi="Times New Roman" w:eastAsia="宋体"/>
                <w:b w:val="0"/>
                <w:sz w:val="17"/>
              </w:rPr>
              <w:t>【通过/不通过】</w:t>
            </w:r>
          </w:p>
        </w:tc>
        <w:tc>
          <w:tcPr>
            <w:tcW w:type="dxa" w:w="2494"/>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92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020"/>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r>
    </w:tbl>
    <w:p>
      <w:pPr>
        <w:spacing w:after="60" w:line="300" w:lineRule="auto"/>
      </w:pPr>
    </w:p>
    <w:p>
      <w:pPr>
        <w:keepNext w:val="0"/>
        <w:spacing w:before="0" w:after="60" w:line="300" w:lineRule="auto"/>
      </w:pPr>
      <w:r>
        <w:rPr>
          <w:rFonts w:ascii="Times New Roman" w:hAnsi="Times New Roman" w:eastAsia="宋体"/>
          <w:b w:val="0"/>
          <w:sz w:val="19"/>
        </w:rPr>
        <w:t>双方确认：本验收单记录的内容真实；验收结论按主合同第 4 条作出；付款、开票或使用部分成果不构成验收合格。</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3137"/>
        <w:gridCol w:w="3137"/>
        <w:gridCol w:w="3137"/>
      </w:tblGrid>
      <w:tr>
        <w:trPr>
          <w:tblHeader w:val="true"/>
        </w:trPr>
        <w:tc>
          <w:tcPr>
            <w:tcW w:type="dxa" w:w="3402"/>
            <w:vAlign w:val="center"/>
            <w:tcMar>
              <w:top w:w="60" w:type="dxa"/>
              <w:start w:w="90" w:type="dxa"/>
              <w:bottom w:w="60" w:type="dxa"/>
              <w:end w:w="90" w:type="dxa"/>
            </w:tcMar>
            <w:shd w:fill="1F4E79"/>
          </w:tcPr>
          <w:p>
            <w:pPr>
              <w:spacing w:after="0"/>
              <w:jc w:val="center"/>
            </w:pPr>
            <w:r>
              <w:rPr>
                <w:rFonts w:ascii="黑体" w:hAnsi="黑体" w:eastAsia="黑体"/>
                <w:b/>
                <w:color w:val="FFFFFF"/>
                <w:sz w:val="19"/>
              </w:rPr>
              <w:t>甲方验收人（签字）</w:t>
            </w:r>
          </w:p>
        </w:tc>
        <w:tc>
          <w:tcPr>
            <w:tcW w:type="dxa" w:w="2551"/>
            <w:vAlign w:val="center"/>
            <w:tcMar>
              <w:top w:w="60" w:type="dxa"/>
              <w:start w:w="90" w:type="dxa"/>
              <w:bottom w:w="60" w:type="dxa"/>
              <w:end w:w="90" w:type="dxa"/>
            </w:tcMar>
            <w:shd w:fill="1F4E79"/>
          </w:tcPr>
          <w:p>
            <w:pPr>
              <w:spacing w:after="0"/>
              <w:jc w:val="center"/>
            </w:pPr>
            <w:r>
              <w:rPr>
                <w:rFonts w:ascii="黑体" w:hAnsi="黑体" w:eastAsia="黑体"/>
                <w:b/>
                <w:color w:val="FFFFFF"/>
                <w:sz w:val="19"/>
              </w:rPr>
              <w:t>乙方代表（签字）</w:t>
            </w:r>
          </w:p>
        </w:tc>
        <w:tc>
          <w:tcPr>
            <w:tcW w:type="dxa" w:w="2551"/>
            <w:vAlign w:val="center"/>
            <w:tcMar>
              <w:top w:w="60" w:type="dxa"/>
              <w:start w:w="90" w:type="dxa"/>
              <w:bottom w:w="60" w:type="dxa"/>
              <w:end w:w="90" w:type="dxa"/>
            </w:tcMar>
            <w:shd w:fill="1F4E79"/>
          </w:tcPr>
          <w:p>
            <w:pPr>
              <w:spacing w:after="0"/>
              <w:jc w:val="center"/>
            </w:pPr>
            <w:r>
              <w:rPr>
                <w:rFonts w:ascii="黑体" w:hAnsi="黑体" w:eastAsia="黑体"/>
                <w:b/>
                <w:color w:val="FFFFFF"/>
                <w:sz w:val="19"/>
              </w:rPr>
              <w:t>日期</w:t>
            </w:r>
          </w:p>
        </w:tc>
      </w:tr>
      <w:tr>
        <w:trPr>
          <w:cantSplit/>
        </w:trPr>
        <w:tc>
          <w:tcPr>
            <w:tcW w:type="dxa" w:w="3402"/>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w:t>
            </w:r>
          </w:p>
        </w:tc>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w:t>
            </w:r>
          </w:p>
        </w:tc>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val="0"/>
                <w:sz w:val="19"/>
              </w:rPr>
              <w:t>【年】年【月】月【日】日</w:t>
            </w:r>
          </w:p>
        </w:tc>
      </w:tr>
    </w:tbl>
    <w:p>
      <w:pPr>
        <w:spacing w:after="60" w:line="300" w:lineRule="auto"/>
      </w:pPr>
    </w:p>
    <w:p>
      <w:pPr>
        <w:spacing w:after="60" w:line="300" w:lineRule="auto"/>
      </w:pPr>
      <w:r>
        <w:br w:type="page"/>
      </w:r>
    </w:p>
    <w:p>
      <w:pPr>
        <w:pStyle w:val="Heading1"/>
      </w:pPr>
      <w:r>
        <w:t>附件三  变更单</w:t>
      </w:r>
    </w:p>
    <w:p>
      <w:pPr>
        <w:keepNext w:val="0"/>
        <w:spacing w:before="0" w:after="60" w:line="300" w:lineRule="auto"/>
      </w:pPr>
      <w:r>
        <w:rPr>
          <w:rFonts w:ascii="Times New Roman" w:hAnsi="Times New Roman" w:eastAsia="宋体"/>
          <w:b w:val="0"/>
          <w:color w:val="404040"/>
          <w:sz w:val="19"/>
        </w:rPr>
        <w:t>变更单应编号并指向原合同和原工作说明书。未签署变更单的，不构成合同变更；紧急临时指令按主合同第 6.7 条处理并在期限内补签。</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4706"/>
        <w:gridCol w:w="4706"/>
      </w:tblGrid>
      <w:tr>
        <w:trPr>
          <w:tblHeader w:val="true"/>
        </w:trPr>
        <w:tc>
          <w:tcPr>
            <w:tcW w:type="dxa" w:w="2551"/>
            <w:vAlign w:val="center"/>
            <w:tcMar>
              <w:top w:w="60" w:type="dxa"/>
              <w:start w:w="90" w:type="dxa"/>
              <w:bottom w:w="60" w:type="dxa"/>
              <w:end w:w="90" w:type="dxa"/>
            </w:tcMar>
            <w:shd w:fill="1F4E79"/>
          </w:tcPr>
          <w:p>
            <w:pPr>
              <w:spacing w:after="0"/>
              <w:jc w:val="center"/>
            </w:pPr>
            <w:r>
              <w:rPr>
                <w:rFonts w:ascii="黑体" w:hAnsi="黑体" w:eastAsia="黑体"/>
                <w:b/>
                <w:color w:val="FFFFFF"/>
                <w:sz w:val="19"/>
              </w:rPr>
              <w:t>项目</w:t>
            </w:r>
          </w:p>
        </w:tc>
        <w:tc>
          <w:tcPr>
            <w:tcW w:type="dxa" w:w="5953"/>
            <w:vAlign w:val="center"/>
            <w:tcMar>
              <w:top w:w="60" w:type="dxa"/>
              <w:start w:w="90" w:type="dxa"/>
              <w:bottom w:w="60" w:type="dxa"/>
              <w:end w:w="90" w:type="dxa"/>
            </w:tcMar>
            <w:shd w:fill="1F4E79"/>
          </w:tcPr>
          <w:p>
            <w:pPr>
              <w:spacing w:after="0"/>
              <w:jc w:val="center"/>
            </w:pPr>
            <w:r>
              <w:rPr>
                <w:rFonts w:ascii="黑体" w:hAnsi="黑体" w:eastAsia="黑体"/>
                <w:b/>
                <w:color w:val="FFFFFF"/>
                <w:sz w:val="19"/>
              </w:rPr>
              <w:t>内容</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变更单编号</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原合同编号/SOW 编号</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 / 【填写】</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变更提出方/日期</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变更类型</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 范围  ☐ 价款  ☐ 工期  ☐ 交付物  ☐ 人员  ☐ 验收标准  ☐ 其他</w:t>
            </w:r>
          </w:p>
        </w:tc>
      </w:tr>
      <w:tr>
        <w:trPr>
          <w:cantSplit/>
        </w:trPr>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sz w:val="19"/>
              </w:rPr>
              <w:t>变更原因</w:t>
            </w:r>
          </w:p>
        </w:tc>
        <w:tc>
          <w:tcPr>
            <w:tcW w:type="dxa" w:w="5953"/>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w:t>
            </w:r>
          </w:p>
        </w:tc>
      </w:tr>
    </w:tbl>
    <w:p>
      <w:pPr>
        <w:spacing w:after="60" w:line="300" w:lineRule="auto"/>
      </w:pPr>
    </w:p>
    <w:p>
      <w:pPr>
        <w:pStyle w:val="Heading2"/>
      </w:pPr>
      <w:r>
        <w:t>一、变更内容与影响</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2353"/>
        <w:gridCol w:w="2353"/>
        <w:gridCol w:w="2353"/>
        <w:gridCol w:w="2353"/>
      </w:tblGrid>
      <w:tr>
        <w:trPr>
          <w:tblHeader w:val="true"/>
        </w:trPr>
        <w:tc>
          <w:tcPr>
            <w:tcW w:type="dxa" w:w="2154"/>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项目</w:t>
            </w:r>
          </w:p>
        </w:tc>
        <w:tc>
          <w:tcPr>
            <w:tcW w:type="dxa" w:w="2268"/>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变更前</w:t>
            </w:r>
          </w:p>
        </w:tc>
        <w:tc>
          <w:tcPr>
            <w:tcW w:type="dxa" w:w="2268"/>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变更后</w:t>
            </w:r>
          </w:p>
        </w:tc>
        <w:tc>
          <w:tcPr>
            <w:tcW w:type="dxa" w:w="1814"/>
            <w:vAlign w:val="center"/>
            <w:tcMar>
              <w:top w:w="60" w:type="dxa"/>
              <w:start w:w="90" w:type="dxa"/>
              <w:bottom w:w="60" w:type="dxa"/>
              <w:end w:w="90" w:type="dxa"/>
            </w:tcMar>
            <w:shd w:fill="1F4E79"/>
          </w:tcPr>
          <w:p>
            <w:pPr>
              <w:spacing w:after="0"/>
              <w:jc w:val="center"/>
            </w:pPr>
            <w:r>
              <w:rPr>
                <w:rFonts w:ascii="黑体" w:hAnsi="黑体" w:eastAsia="黑体"/>
                <w:b/>
                <w:color w:val="FFFFFF"/>
                <w:sz w:val="17"/>
              </w:rPr>
              <w:t>影响</w:t>
            </w:r>
          </w:p>
        </w:tc>
      </w:tr>
      <w:tr>
        <w:trPr>
          <w:cantSplit/>
        </w:trPr>
        <w:tc>
          <w:tcPr>
            <w:tcW w:type="dxa" w:w="2154"/>
            <w:vAlign w:val="center"/>
            <w:tcMar>
              <w:top w:w="60" w:type="dxa"/>
              <w:start w:w="90" w:type="dxa"/>
              <w:bottom w:w="60" w:type="dxa"/>
              <w:end w:w="90" w:type="dxa"/>
            </w:tcMar>
          </w:tcPr>
          <w:p>
            <w:pPr>
              <w:spacing w:after="0" w:line="276" w:lineRule="auto"/>
            </w:pPr>
            <w:r>
              <w:rPr>
                <w:rFonts w:ascii="Times New Roman" w:hAnsi="Times New Roman" w:eastAsia="宋体"/>
                <w:b w:val="0"/>
                <w:sz w:val="17"/>
              </w:rPr>
              <w:t>服务范围</w:t>
            </w:r>
          </w:p>
        </w:tc>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814"/>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r>
      <w:tr>
        <w:trPr>
          <w:cantSplit/>
        </w:trPr>
        <w:tc>
          <w:tcPr>
            <w:tcW w:type="dxa" w:w="2154"/>
            <w:vAlign w:val="center"/>
            <w:tcMar>
              <w:top w:w="60" w:type="dxa"/>
              <w:start w:w="90" w:type="dxa"/>
              <w:bottom w:w="60" w:type="dxa"/>
              <w:end w:w="90" w:type="dxa"/>
            </w:tcMar>
          </w:tcPr>
          <w:p>
            <w:pPr>
              <w:spacing w:after="0" w:line="276" w:lineRule="auto"/>
            </w:pPr>
            <w:r>
              <w:rPr>
                <w:rFonts w:ascii="Times New Roman" w:hAnsi="Times New Roman" w:eastAsia="宋体"/>
                <w:b w:val="0"/>
                <w:sz w:val="17"/>
              </w:rPr>
              <w:t>交付物/验收标准</w:t>
            </w:r>
          </w:p>
        </w:tc>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814"/>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r>
      <w:tr>
        <w:trPr>
          <w:cantSplit/>
        </w:trPr>
        <w:tc>
          <w:tcPr>
            <w:tcW w:type="dxa" w:w="2154"/>
            <w:vAlign w:val="center"/>
            <w:tcMar>
              <w:top w:w="60" w:type="dxa"/>
              <w:start w:w="90" w:type="dxa"/>
              <w:bottom w:w="60" w:type="dxa"/>
              <w:end w:w="90" w:type="dxa"/>
            </w:tcMar>
          </w:tcPr>
          <w:p>
            <w:pPr>
              <w:spacing w:after="0" w:line="276" w:lineRule="auto"/>
            </w:pPr>
            <w:r>
              <w:rPr>
                <w:rFonts w:ascii="Times New Roman" w:hAnsi="Times New Roman" w:eastAsia="宋体"/>
                <w:b w:val="0"/>
                <w:sz w:val="17"/>
              </w:rPr>
              <w:t>合同价款（元）</w:t>
            </w:r>
          </w:p>
        </w:tc>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814"/>
            <w:vAlign w:val="center"/>
            <w:tcMar>
              <w:top w:w="60" w:type="dxa"/>
              <w:start w:w="90" w:type="dxa"/>
              <w:bottom w:w="60" w:type="dxa"/>
              <w:end w:w="90" w:type="dxa"/>
            </w:tcMar>
          </w:tcPr>
          <w:p>
            <w:pPr>
              <w:spacing w:after="0" w:line="276" w:lineRule="auto"/>
            </w:pPr>
            <w:r>
              <w:rPr>
                <w:rFonts w:ascii="Times New Roman" w:hAnsi="Times New Roman" w:eastAsia="宋体"/>
                <w:b w:val="0"/>
                <w:sz w:val="17"/>
              </w:rPr>
              <w:t>增减：【填写】</w:t>
            </w:r>
          </w:p>
        </w:tc>
      </w:tr>
      <w:tr>
        <w:trPr>
          <w:cantSplit/>
        </w:trPr>
        <w:tc>
          <w:tcPr>
            <w:tcW w:type="dxa" w:w="2154"/>
            <w:vAlign w:val="center"/>
            <w:tcMar>
              <w:top w:w="60" w:type="dxa"/>
              <w:start w:w="90" w:type="dxa"/>
              <w:bottom w:w="60" w:type="dxa"/>
              <w:end w:w="90" w:type="dxa"/>
            </w:tcMar>
          </w:tcPr>
          <w:p>
            <w:pPr>
              <w:spacing w:after="0" w:line="276" w:lineRule="auto"/>
            </w:pPr>
            <w:r>
              <w:rPr>
                <w:rFonts w:ascii="Times New Roman" w:hAnsi="Times New Roman" w:eastAsia="宋体"/>
                <w:b w:val="0"/>
                <w:sz w:val="17"/>
              </w:rPr>
              <w:t>工期/里程碑</w:t>
            </w:r>
          </w:p>
        </w:tc>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814"/>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r>
      <w:tr>
        <w:trPr>
          <w:cantSplit/>
        </w:trPr>
        <w:tc>
          <w:tcPr>
            <w:tcW w:type="dxa" w:w="2154"/>
            <w:vAlign w:val="center"/>
            <w:tcMar>
              <w:top w:w="60" w:type="dxa"/>
              <w:start w:w="90" w:type="dxa"/>
              <w:bottom w:w="60" w:type="dxa"/>
              <w:end w:w="90" w:type="dxa"/>
            </w:tcMar>
          </w:tcPr>
          <w:p>
            <w:pPr>
              <w:spacing w:after="0" w:line="276" w:lineRule="auto"/>
            </w:pPr>
            <w:r>
              <w:rPr>
                <w:rFonts w:ascii="Times New Roman" w:hAnsi="Times New Roman" w:eastAsia="宋体"/>
                <w:b w:val="0"/>
                <w:sz w:val="17"/>
              </w:rPr>
              <w:t>人员/分包</w:t>
            </w:r>
          </w:p>
        </w:tc>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814"/>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r>
      <w:tr>
        <w:trPr>
          <w:cantSplit/>
        </w:trPr>
        <w:tc>
          <w:tcPr>
            <w:tcW w:type="dxa" w:w="2154"/>
            <w:vAlign w:val="center"/>
            <w:tcMar>
              <w:top w:w="60" w:type="dxa"/>
              <w:start w:w="90" w:type="dxa"/>
              <w:bottom w:w="60" w:type="dxa"/>
              <w:end w:w="90" w:type="dxa"/>
            </w:tcMar>
          </w:tcPr>
          <w:p>
            <w:pPr>
              <w:spacing w:after="0" w:line="276" w:lineRule="auto"/>
            </w:pPr>
            <w:r>
              <w:rPr>
                <w:rFonts w:ascii="Times New Roman" w:hAnsi="Times New Roman" w:eastAsia="宋体"/>
                <w:b w:val="0"/>
                <w:sz w:val="17"/>
              </w:rPr>
              <w:t>知识产权/数据</w:t>
            </w:r>
          </w:p>
        </w:tc>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c>
          <w:tcPr>
            <w:tcW w:type="dxa" w:w="1814"/>
            <w:vAlign w:val="center"/>
            <w:tcMar>
              <w:top w:w="60" w:type="dxa"/>
              <w:start w:w="90" w:type="dxa"/>
              <w:bottom w:w="60" w:type="dxa"/>
              <w:end w:w="90" w:type="dxa"/>
            </w:tcMar>
          </w:tcPr>
          <w:p>
            <w:pPr>
              <w:spacing w:after="0" w:line="276" w:lineRule="auto"/>
            </w:pPr>
            <w:r>
              <w:rPr>
                <w:rFonts w:ascii="Times New Roman" w:hAnsi="Times New Roman" w:eastAsia="宋体"/>
                <w:b w:val="0"/>
                <w:sz w:val="17"/>
              </w:rPr>
              <w:t>【填写】</w:t>
            </w:r>
          </w:p>
        </w:tc>
      </w:tr>
    </w:tbl>
    <w:p>
      <w:pPr>
        <w:spacing w:after="60" w:line="300" w:lineRule="auto"/>
      </w:pPr>
    </w:p>
    <w:p>
      <w:pPr>
        <w:pStyle w:val="Heading2"/>
      </w:pPr>
      <w:r>
        <w:t>二、审批与授权</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4706"/>
        <w:gridCol w:w="4706"/>
      </w:tblGrid>
      <w:tr>
        <w:trPr>
          <w:tblHeader w:val="true"/>
        </w:trPr>
        <w:tc>
          <w:tcPr>
            <w:tcW w:type="dxa" w:w="2835"/>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事项</w:t>
            </w:r>
          </w:p>
        </w:tc>
        <w:tc>
          <w:tcPr>
            <w:tcW w:type="dxa" w:w="5669"/>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内容</w:t>
            </w:r>
          </w:p>
        </w:tc>
      </w:tr>
      <w:tr>
        <w:trPr>
          <w:cantSplit/>
        </w:trPr>
        <w:tc>
          <w:tcPr>
            <w:tcW w:type="dxa" w:w="2835"/>
            <w:vAlign w:val="center"/>
            <w:tcMar>
              <w:top w:w="60" w:type="dxa"/>
              <w:start w:w="90" w:type="dxa"/>
              <w:bottom w:w="60" w:type="dxa"/>
              <w:end w:w="90" w:type="dxa"/>
            </w:tcMar>
          </w:tcPr>
          <w:p>
            <w:pPr>
              <w:spacing w:after="0" w:line="276" w:lineRule="auto"/>
            </w:pPr>
            <w:r>
              <w:rPr>
                <w:rFonts w:ascii="Times New Roman" w:hAnsi="Times New Roman" w:eastAsia="宋体"/>
                <w:b/>
                <w:sz w:val="18"/>
              </w:rPr>
              <w:t>变更后累计合同金额（元）</w:t>
            </w:r>
          </w:p>
        </w:tc>
        <w:tc>
          <w:tcPr>
            <w:tcW w:type="dxa" w:w="5669"/>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r>
        <w:trPr>
          <w:cantSplit/>
        </w:trPr>
        <w:tc>
          <w:tcPr>
            <w:tcW w:type="dxa" w:w="2835"/>
            <w:vAlign w:val="center"/>
            <w:tcMar>
              <w:top w:w="60" w:type="dxa"/>
              <w:start w:w="90" w:type="dxa"/>
              <w:bottom w:w="60" w:type="dxa"/>
              <w:end w:w="90" w:type="dxa"/>
            </w:tcMar>
          </w:tcPr>
          <w:p>
            <w:pPr>
              <w:spacing w:after="0" w:line="276" w:lineRule="auto"/>
            </w:pPr>
            <w:r>
              <w:rPr>
                <w:rFonts w:ascii="Times New Roman" w:hAnsi="Times New Roman" w:eastAsia="宋体"/>
                <w:b/>
                <w:sz w:val="18"/>
              </w:rPr>
              <w:t>是否跨越审批档位</w:t>
            </w:r>
          </w:p>
        </w:tc>
        <w:tc>
          <w:tcPr>
            <w:tcW w:type="dxa" w:w="5669"/>
            <w:vAlign w:val="center"/>
            <w:tcMar>
              <w:top w:w="60" w:type="dxa"/>
              <w:start w:w="90" w:type="dxa"/>
              <w:bottom w:w="60" w:type="dxa"/>
              <w:end w:w="90" w:type="dxa"/>
            </w:tcMar>
          </w:tcPr>
          <w:p>
            <w:pPr>
              <w:spacing w:after="0" w:line="276" w:lineRule="auto"/>
            </w:pPr>
            <w:r>
              <w:rPr>
                <w:rFonts w:ascii="Times New Roman" w:hAnsi="Times New Roman" w:eastAsia="宋体"/>
                <w:b w:val="0"/>
                <w:sz w:val="18"/>
              </w:rPr>
              <w:t>【是/否；如为是，重新计算路由】</w:t>
            </w:r>
          </w:p>
        </w:tc>
      </w:tr>
      <w:tr>
        <w:trPr>
          <w:cantSplit/>
        </w:trPr>
        <w:tc>
          <w:tcPr>
            <w:tcW w:type="dxa" w:w="2835"/>
            <w:vAlign w:val="center"/>
            <w:tcMar>
              <w:top w:w="60" w:type="dxa"/>
              <w:start w:w="90" w:type="dxa"/>
              <w:bottom w:w="60" w:type="dxa"/>
              <w:end w:w="90" w:type="dxa"/>
            </w:tcMar>
          </w:tcPr>
          <w:p>
            <w:pPr>
              <w:spacing w:after="0" w:line="276" w:lineRule="auto"/>
            </w:pPr>
            <w:r>
              <w:rPr>
                <w:rFonts w:ascii="Times New Roman" w:hAnsi="Times New Roman" w:eastAsia="宋体"/>
                <w:b/>
                <w:sz w:val="18"/>
              </w:rPr>
              <w:t>业务批准人/日期</w:t>
            </w:r>
          </w:p>
        </w:tc>
        <w:tc>
          <w:tcPr>
            <w:tcW w:type="dxa" w:w="5669"/>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r>
        <w:trPr>
          <w:cantSplit/>
        </w:trPr>
        <w:tc>
          <w:tcPr>
            <w:tcW w:type="dxa" w:w="2835"/>
            <w:vAlign w:val="center"/>
            <w:tcMar>
              <w:top w:w="60" w:type="dxa"/>
              <w:start w:w="90" w:type="dxa"/>
              <w:bottom w:w="60" w:type="dxa"/>
              <w:end w:w="90" w:type="dxa"/>
            </w:tcMar>
          </w:tcPr>
          <w:p>
            <w:pPr>
              <w:spacing w:after="0" w:line="276" w:lineRule="auto"/>
            </w:pPr>
            <w:r>
              <w:rPr>
                <w:rFonts w:ascii="Times New Roman" w:hAnsi="Times New Roman" w:eastAsia="宋体"/>
                <w:b/>
                <w:sz w:val="18"/>
              </w:rPr>
              <w:t>法务审查人/日期</w:t>
            </w:r>
          </w:p>
        </w:tc>
        <w:tc>
          <w:tcPr>
            <w:tcW w:type="dxa" w:w="5669"/>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r>
        <w:trPr>
          <w:cantSplit/>
        </w:trPr>
        <w:tc>
          <w:tcPr>
            <w:tcW w:type="dxa" w:w="2835"/>
            <w:vAlign w:val="center"/>
            <w:tcMar>
              <w:top w:w="60" w:type="dxa"/>
              <w:start w:w="90" w:type="dxa"/>
              <w:bottom w:w="60" w:type="dxa"/>
              <w:end w:w="90" w:type="dxa"/>
            </w:tcMar>
          </w:tcPr>
          <w:p>
            <w:pPr>
              <w:spacing w:after="0" w:line="276" w:lineRule="auto"/>
            </w:pPr>
            <w:r>
              <w:rPr>
                <w:rFonts w:ascii="Times New Roman" w:hAnsi="Times New Roman" w:eastAsia="宋体"/>
                <w:b/>
                <w:sz w:val="18"/>
              </w:rPr>
              <w:t>财务意见/日期</w:t>
            </w:r>
          </w:p>
        </w:tc>
        <w:tc>
          <w:tcPr>
            <w:tcW w:type="dxa" w:w="5669"/>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r>
        <w:trPr>
          <w:cantSplit/>
        </w:trPr>
        <w:tc>
          <w:tcPr>
            <w:tcW w:type="dxa" w:w="2835"/>
            <w:vAlign w:val="center"/>
            <w:tcMar>
              <w:top w:w="60" w:type="dxa"/>
              <w:start w:w="90" w:type="dxa"/>
              <w:bottom w:w="60" w:type="dxa"/>
              <w:end w:w="90" w:type="dxa"/>
            </w:tcMar>
          </w:tcPr>
          <w:p>
            <w:pPr>
              <w:spacing w:after="0" w:line="276" w:lineRule="auto"/>
            </w:pPr>
            <w:r>
              <w:rPr>
                <w:rFonts w:ascii="Times New Roman" w:hAnsi="Times New Roman" w:eastAsia="宋体"/>
                <w:b/>
                <w:sz w:val="18"/>
              </w:rPr>
              <w:t>专项意见/日期（如适用）</w:t>
            </w:r>
          </w:p>
        </w:tc>
        <w:tc>
          <w:tcPr>
            <w:tcW w:type="dxa" w:w="5669"/>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r>
        <w:trPr>
          <w:cantSplit/>
        </w:trPr>
        <w:tc>
          <w:tcPr>
            <w:tcW w:type="dxa" w:w="2835"/>
            <w:vAlign w:val="center"/>
            <w:tcMar>
              <w:top w:w="60" w:type="dxa"/>
              <w:start w:w="90" w:type="dxa"/>
              <w:bottom w:w="60" w:type="dxa"/>
              <w:end w:w="90" w:type="dxa"/>
            </w:tcMar>
          </w:tcPr>
          <w:p>
            <w:pPr>
              <w:spacing w:after="0" w:line="276" w:lineRule="auto"/>
            </w:pPr>
            <w:r>
              <w:rPr>
                <w:rFonts w:ascii="Times New Roman" w:hAnsi="Times New Roman" w:eastAsia="宋体"/>
                <w:b/>
                <w:sz w:val="18"/>
              </w:rPr>
              <w:t>双方授权代表</w:t>
            </w:r>
          </w:p>
        </w:tc>
        <w:tc>
          <w:tcPr>
            <w:tcW w:type="dxa" w:w="5669"/>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bl>
    <w:p>
      <w:pPr>
        <w:spacing w:after="60" w:line="300" w:lineRule="auto"/>
      </w:pPr>
    </w:p>
    <w:p>
      <w:pPr>
        <w:keepNext w:val="0"/>
        <w:spacing w:before="0" w:after="60" w:line="300" w:lineRule="auto"/>
      </w:pPr>
      <w:r>
        <w:rPr>
          <w:rFonts w:ascii="Times New Roman" w:hAnsi="Times New Roman" w:eastAsia="宋体"/>
          <w:b w:val="0"/>
          <w:color w:val="595959"/>
          <w:sz w:val="17"/>
        </w:rPr>
        <w:t>说明：内部审批是甲方的内部控制要求；未完成内部审批不当然使已经由有权代表签署的对外变更无效，但可能产生内部责任、付款风险和授权争议。</w:t>
      </w:r>
    </w:p>
    <w:p>
      <w:pPr>
        <w:keepNext w:val="0"/>
        <w:spacing w:before="0" w:after="60" w:line="300" w:lineRule="auto"/>
      </w:pPr>
      <w:r>
        <w:rPr>
          <w:rFonts w:ascii="Times New Roman" w:hAnsi="Times New Roman" w:eastAsia="宋体"/>
          <w:b w:val="0"/>
          <w:sz w:val="19"/>
        </w:rPr>
        <w:t>双方确认本变更单与原合同、原工作说明书共同构成完整合同；如与本变更单冲突，以本变更单为准。</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3137"/>
        <w:gridCol w:w="3137"/>
        <w:gridCol w:w="3137"/>
      </w:tblGrid>
      <w:tr>
        <w:trPr>
          <w:tblHeader w:val="true"/>
        </w:trPr>
        <w:tc>
          <w:tcPr>
            <w:tcW w:type="dxa" w:w="3402"/>
            <w:vAlign w:val="center"/>
            <w:tcMar>
              <w:top w:w="60" w:type="dxa"/>
              <w:start w:w="90" w:type="dxa"/>
              <w:bottom w:w="60" w:type="dxa"/>
              <w:end w:w="90" w:type="dxa"/>
            </w:tcMar>
            <w:shd w:fill="1F4E79"/>
          </w:tcPr>
          <w:p>
            <w:pPr>
              <w:spacing w:after="0"/>
              <w:jc w:val="center"/>
            </w:pPr>
            <w:r>
              <w:rPr>
                <w:rFonts w:ascii="黑体" w:hAnsi="黑体" w:eastAsia="黑体"/>
                <w:b/>
                <w:color w:val="FFFFFF"/>
                <w:sz w:val="19"/>
              </w:rPr>
              <w:t>甲方（盖章）</w:t>
            </w:r>
          </w:p>
        </w:tc>
        <w:tc>
          <w:tcPr>
            <w:tcW w:type="dxa" w:w="2551"/>
            <w:vAlign w:val="center"/>
            <w:tcMar>
              <w:top w:w="60" w:type="dxa"/>
              <w:start w:w="90" w:type="dxa"/>
              <w:bottom w:w="60" w:type="dxa"/>
              <w:end w:w="90" w:type="dxa"/>
            </w:tcMar>
            <w:shd w:fill="1F4E79"/>
          </w:tcPr>
          <w:p>
            <w:pPr>
              <w:spacing w:after="0"/>
              <w:jc w:val="center"/>
            </w:pPr>
            <w:r>
              <w:rPr>
                <w:rFonts w:ascii="黑体" w:hAnsi="黑体" w:eastAsia="黑体"/>
                <w:b/>
                <w:color w:val="FFFFFF"/>
                <w:sz w:val="19"/>
              </w:rPr>
              <w:t>乙方（盖章）</w:t>
            </w:r>
          </w:p>
        </w:tc>
        <w:tc>
          <w:tcPr>
            <w:tcW w:type="dxa" w:w="2551"/>
            <w:vAlign w:val="center"/>
            <w:tcMar>
              <w:top w:w="60" w:type="dxa"/>
              <w:start w:w="90" w:type="dxa"/>
              <w:bottom w:w="60" w:type="dxa"/>
              <w:end w:w="90" w:type="dxa"/>
            </w:tcMar>
            <w:shd w:fill="1F4E79"/>
          </w:tcPr>
          <w:p>
            <w:pPr>
              <w:spacing w:after="0"/>
              <w:jc w:val="center"/>
            </w:pPr>
            <w:r>
              <w:rPr>
                <w:rFonts w:ascii="黑体" w:hAnsi="黑体" w:eastAsia="黑体"/>
                <w:b/>
                <w:color w:val="FFFFFF"/>
                <w:sz w:val="19"/>
              </w:rPr>
              <w:t>日期</w:t>
            </w:r>
          </w:p>
        </w:tc>
      </w:tr>
      <w:tr>
        <w:trPr>
          <w:cantSplit/>
        </w:trPr>
        <w:tc>
          <w:tcPr>
            <w:tcW w:type="dxa" w:w="3402"/>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w:t>
            </w:r>
          </w:p>
        </w:tc>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val="0"/>
                <w:sz w:val="19"/>
              </w:rPr>
              <w:t>【填写】</w:t>
            </w:r>
          </w:p>
        </w:tc>
        <w:tc>
          <w:tcPr>
            <w:tcW w:type="dxa" w:w="2551"/>
            <w:vAlign w:val="center"/>
            <w:tcMar>
              <w:top w:w="60" w:type="dxa"/>
              <w:start w:w="90" w:type="dxa"/>
              <w:bottom w:w="60" w:type="dxa"/>
              <w:end w:w="90" w:type="dxa"/>
            </w:tcMar>
          </w:tcPr>
          <w:p>
            <w:pPr>
              <w:spacing w:after="0" w:line="276" w:lineRule="auto"/>
            </w:pPr>
            <w:r>
              <w:rPr>
                <w:rFonts w:ascii="Times New Roman" w:hAnsi="Times New Roman" w:eastAsia="宋体"/>
                <w:b w:val="0"/>
                <w:sz w:val="19"/>
              </w:rPr>
              <w:t>【年】年【月】月【日】日</w:t>
            </w:r>
          </w:p>
        </w:tc>
      </w:tr>
    </w:tbl>
    <w:p>
      <w:pPr>
        <w:spacing w:after="60" w:line="300" w:lineRule="auto"/>
      </w:pPr>
    </w:p>
    <w:p>
      <w:pPr>
        <w:spacing w:after="60" w:line="300" w:lineRule="auto"/>
      </w:pPr>
      <w:r>
        <w:br w:type="page"/>
      </w:r>
    </w:p>
    <w:p>
      <w:pPr>
        <w:pStyle w:val="Heading1"/>
        <w:pageBreakBefore/>
      </w:pPr>
      <w:r>
        <w:t>签署页</w:t>
      </w:r>
    </w:p>
    <w:p>
      <w:pPr>
        <w:keepNext w:val="0"/>
        <w:spacing w:before="0" w:after="60" w:line="300" w:lineRule="auto"/>
      </w:pPr>
      <w:r>
        <w:rPr>
          <w:rFonts w:ascii="Times New Roman" w:hAnsi="Times New Roman" w:eastAsia="宋体"/>
          <w:b w:val="0"/>
          <w:sz w:val="19"/>
        </w:rPr>
        <w:t>双方确认：已阅读并理解本合同及“重要条款提示”；签署人已获得合法授权；主合同、附件一至三和本签署页共同构成完整合同。</w:t>
      </w:r>
    </w:p>
    <w:tbl>
      <w:tblPr>
        <w:tblW w:type="auto" w:w="0"/>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Grid>
        <w:gridCol w:w="3137"/>
        <w:gridCol w:w="3137"/>
        <w:gridCol w:w="3137"/>
      </w:tblGrid>
      <w:tr>
        <w:trPr>
          <w:tblHeader w:val="true"/>
        </w:trPr>
        <w:tc>
          <w:tcPr>
            <w:tcW w:type="dxa" w:w="2268"/>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项目</w:t>
            </w:r>
          </w:p>
        </w:tc>
        <w:tc>
          <w:tcPr>
            <w:tcW w:type="dxa" w:w="3175"/>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甲方（采购方）</w:t>
            </w:r>
          </w:p>
        </w:tc>
        <w:tc>
          <w:tcPr>
            <w:tcW w:type="dxa" w:w="3175"/>
            <w:vAlign w:val="center"/>
            <w:tcMar>
              <w:top w:w="60" w:type="dxa"/>
              <w:start w:w="90" w:type="dxa"/>
              <w:bottom w:w="60" w:type="dxa"/>
              <w:end w:w="90" w:type="dxa"/>
            </w:tcMar>
            <w:shd w:fill="1F4E79"/>
          </w:tcPr>
          <w:p>
            <w:pPr>
              <w:spacing w:after="0"/>
              <w:jc w:val="center"/>
            </w:pPr>
            <w:r>
              <w:rPr>
                <w:rFonts w:ascii="黑体" w:hAnsi="黑体" w:eastAsia="黑体"/>
                <w:b/>
                <w:color w:val="FFFFFF"/>
                <w:sz w:val="18"/>
              </w:rPr>
              <w:t>乙方（服务方）</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sz w:val="18"/>
              </w:rPr>
              <w:t>主体全称（盖章）</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【填写并盖章】</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【填写并盖章】</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sz w:val="18"/>
              </w:rPr>
              <w:t>统一社会信用代码</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sz w:val="18"/>
              </w:rPr>
              <w:t>法定代表人或授权代表</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【签字】</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【签字】</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sz w:val="18"/>
              </w:rPr>
              <w:t>签署日期</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【年】年【月】月【日】日</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【年】年【月】月【日】日</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sz w:val="18"/>
              </w:rPr>
              <w:t>签署地点</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sz w:val="18"/>
              </w:rPr>
              <w:t>通知地址</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r>
        <w:trPr>
          <w:cantSplit/>
        </w:trPr>
        <w:tc>
          <w:tcPr>
            <w:tcW w:type="dxa" w:w="2268"/>
            <w:vAlign w:val="center"/>
            <w:tcMar>
              <w:top w:w="60" w:type="dxa"/>
              <w:start w:w="90" w:type="dxa"/>
              <w:bottom w:w="60" w:type="dxa"/>
              <w:end w:w="90" w:type="dxa"/>
            </w:tcMar>
          </w:tcPr>
          <w:p>
            <w:pPr>
              <w:spacing w:after="0" w:line="276" w:lineRule="auto"/>
            </w:pPr>
            <w:r>
              <w:rPr>
                <w:rFonts w:ascii="Times New Roman" w:hAnsi="Times New Roman" w:eastAsia="宋体"/>
                <w:b/>
                <w:sz w:val="18"/>
              </w:rPr>
              <w:t>联系人/邮箱</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c>
          <w:tcPr>
            <w:tcW w:type="dxa" w:w="3175"/>
            <w:vAlign w:val="center"/>
            <w:tcMar>
              <w:top w:w="60" w:type="dxa"/>
              <w:start w:w="90" w:type="dxa"/>
              <w:bottom w:w="60" w:type="dxa"/>
              <w:end w:w="90" w:type="dxa"/>
            </w:tcMar>
          </w:tcPr>
          <w:p>
            <w:pPr>
              <w:spacing w:after="0" w:line="276" w:lineRule="auto"/>
            </w:pPr>
            <w:r>
              <w:rPr>
                <w:rFonts w:ascii="Times New Roman" w:hAnsi="Times New Roman" w:eastAsia="宋体"/>
                <w:b w:val="0"/>
                <w:sz w:val="18"/>
              </w:rPr>
              <w:t>【填写】</w:t>
            </w:r>
          </w:p>
        </w:tc>
      </w:tr>
    </w:tbl>
    <w:p>
      <w:pPr>
        <w:spacing w:after="60" w:line="300" w:lineRule="auto"/>
      </w:pPr>
    </w:p>
    <w:p>
      <w:pPr>
        <w:keepNext w:val="0"/>
        <w:spacing w:before="160" w:after="60" w:line="300" w:lineRule="auto"/>
      </w:pPr>
      <w:r>
        <w:rPr>
          <w:rFonts w:ascii="Times New Roman" w:hAnsi="Times New Roman" w:eastAsia="宋体"/>
          <w:b/>
          <w:sz w:val="21"/>
        </w:rPr>
        <w:t>附件清单（签署时逐项勾选）：</w:t>
      </w:r>
    </w:p>
    <w:p>
      <w:pPr>
        <w:keepNext w:val="0"/>
        <w:spacing w:before="0" w:after="60" w:line="300" w:lineRule="auto"/>
      </w:pPr>
      <w:r>
        <w:rPr>
          <w:rFonts w:ascii="Times New Roman" w:hAnsi="Times New Roman" w:eastAsia="宋体"/>
          <w:b w:val="0"/>
          <w:sz w:val="19"/>
        </w:rPr>
        <w:t>☐ 附件一  工作说明书（SOW），版本 v1.1</w:t>
      </w:r>
    </w:p>
    <w:p>
      <w:pPr>
        <w:keepNext w:val="0"/>
        <w:spacing w:before="0" w:after="60" w:line="300" w:lineRule="auto"/>
      </w:pPr>
      <w:r>
        <w:rPr>
          <w:rFonts w:ascii="Times New Roman" w:hAnsi="Times New Roman" w:eastAsia="宋体"/>
          <w:b w:val="0"/>
          <w:sz w:val="19"/>
        </w:rPr>
        <w:t>☐ 附件二  验收单（模板，履约时填写）</w:t>
      </w:r>
    </w:p>
    <w:p>
      <w:pPr>
        <w:keepNext w:val="0"/>
        <w:spacing w:before="0" w:after="60" w:line="300" w:lineRule="auto"/>
      </w:pPr>
      <w:r>
        <w:rPr>
          <w:rFonts w:ascii="Times New Roman" w:hAnsi="Times New Roman" w:eastAsia="宋体"/>
          <w:b w:val="0"/>
          <w:sz w:val="19"/>
        </w:rPr>
        <w:t>☐ 附件三  变更单（模板，变更时填写）</w:t>
      </w:r>
    </w:p>
    <w:p>
      <w:pPr>
        <w:keepNext w:val="0"/>
        <w:spacing w:before="0" w:after="60" w:line="300" w:lineRule="auto"/>
      </w:pPr>
      <w:r>
        <w:rPr>
          <w:rFonts w:ascii="Times New Roman" w:hAnsi="Times New Roman" w:eastAsia="宋体"/>
          <w:b w:val="0"/>
          <w:sz w:val="19"/>
        </w:rPr>
        <w:t>☐ 重要条款提示（已随签署文本保留）</w:t>
      </w:r>
    </w:p>
    <w:sectPr w:rsidR="00FC693F" w:rsidRPr="0006063C" w:rsidSect="00034616">
      <w:headerReference w:type="default" r:id="rId9"/>
      <w:footerReference w:type="default" r:id="rId10"/>
      <w:pgSz w:w="11906" w:h="16838"/>
      <w:pgMar w:top="1247" w:right="1247" w:bottom="1134" w:left="1247" w:header="624"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eastAsia="宋体"/>
        <w:color w:val="808080"/>
        <w:sz w:val="17"/>
      </w:rPr>
      <w:t xml:space="preserve">第 </w:t>
    </w:r>
    <w:r>
      <w:rPr>
        <w:rFonts w:ascii="Times New Roman" w:hAnsi="Times New Roman" w:eastAsia="宋体"/>
        <w:color w:val="808080"/>
        <w:sz w:val="17"/>
      </w:rPr>
      <w:fldChar w:fldCharType="begin"/>
    </w:r>
    <w:r>
      <w:rPr>
        <w:rFonts w:ascii="Times New Roman" w:hAnsi="Times New Roman" w:eastAsia="宋体"/>
        <w:color w:val="808080"/>
        <w:sz w:val="17"/>
      </w:rPr>
      <w:instrText xml:space="preserve">PAGE</w:instrText>
    </w:r>
    <w:r>
      <w:rPr>
        <w:rFonts w:ascii="Times New Roman" w:hAnsi="Times New Roman" w:eastAsia="宋体"/>
        <w:color w:val="808080"/>
        <w:sz w:val="17"/>
      </w:rPr>
      <w:fldChar w:fldCharType="end"/>
    </w:r>
    <w:r>
      <w:rPr>
        <w:rFonts w:ascii="Times New Roman" w:hAnsi="Times New Roman" w:eastAsia="宋体"/>
        <w:color w:val="808080"/>
        <w:sz w:val="17"/>
      </w:rPr>
      <w:t xml:space="preserve"> 页 / 共 </w:t>
    </w:r>
    <w:r>
      <w:rPr>
        <w:rFonts w:ascii="Times New Roman" w:hAnsi="Times New Roman" w:eastAsia="宋体"/>
        <w:color w:val="808080"/>
        <w:sz w:val="17"/>
      </w:rPr>
      <w:fldChar w:fldCharType="begin"/>
    </w:r>
    <w:r>
      <w:rPr>
        <w:rFonts w:ascii="Times New Roman" w:hAnsi="Times New Roman" w:eastAsia="宋体"/>
        <w:color w:val="808080"/>
        <w:sz w:val="17"/>
      </w:rPr>
      <w:instrText xml:space="preserve">NUMPAGES</w:instrText>
    </w:r>
    <w:r>
      <w:rPr>
        <w:rFonts w:ascii="Times New Roman" w:hAnsi="Times New Roman" w:eastAsia="宋体"/>
        <w:color w:val="808080"/>
        <w:sz w:val="17"/>
      </w:rPr>
      <w:fldChar w:fldCharType="end"/>
    </w:r>
    <w:r>
      <w:rPr>
        <w:rFonts w:ascii="Times New Roman" w:hAnsi="Times New Roman" w:eastAsia="宋体"/>
        <w:color w:val="808080"/>
        <w:sz w:val="17"/>
      </w:rPr>
      <w:t xml:space="preserve"> 页</w:t>
    </w:r>
    <w:r>
      <w:rPr>
        <w:rFonts w:ascii="Times New Roman" w:hAnsi="Times New Roman" w:eastAsia="宋体"/>
        <w:color w:val="A6A6A6"/>
        <w:sz w:val="16"/>
      </w:rPr>
      <w:t xml:space="preserve">    法务OPC · M01 合同基础设施 · 模拟模板</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1" w:color="BFBFBF"/>
      </w:pBdr>
    </w:pPr>
    <w:r/>
    <w:r>
      <w:rPr>
        <w:rFonts w:ascii="Times New Roman" w:hAnsi="Times New Roman" w:eastAsia="宋体"/>
        <w:color w:val="7F7F7F"/>
        <w:sz w:val="16"/>
      </w:rPr>
      <w:t>TPL-SVC-BUY-01  ·  采购服务合同  ·  v1.1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80"/>
    </w:pPr>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line="288" w:lineRule="auto"/>
      <w:outlineLvl w:val="0"/>
    </w:pPr>
    <w:rPr>
      <w:rFonts w:asciiTheme="majorHAnsi" w:eastAsiaTheme="majorEastAsia" w:hAnsiTheme="majorHAnsi" w:cstheme="majorBidi" w:ascii="黑体" w:hAnsi="黑体" w:eastAsia="黑体"/>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100" w:line="288" w:lineRule="auto"/>
      <w:outlineLvl w:val="1"/>
    </w:pPr>
    <w:rPr>
      <w:rFonts w:asciiTheme="majorHAnsi" w:eastAsiaTheme="majorEastAsia" w:hAnsiTheme="majorHAnsi" w:cstheme="majorBidi" w:ascii="黑体" w:hAnsi="黑体" w:eastAsia="黑体"/>
      <w:b/>
      <w:bCs/>
      <w:color w:val="2E4B66"/>
      <w:sz w:val="25"/>
      <w:szCs w:val="26"/>
    </w:rPr>
  </w:style>
  <w:style w:type="paragraph" w:styleId="Heading3">
    <w:name w:val="heading 3"/>
    <w:basedOn w:val="Normal"/>
    <w:next w:val="Normal"/>
    <w:link w:val="Heading3Char"/>
    <w:uiPriority w:val="9"/>
    <w:unhideWhenUsed/>
    <w:qFormat/>
    <w:rsid w:val="00FC693F"/>
    <w:pPr>
      <w:keepNext/>
      <w:keepLines/>
      <w:spacing w:before="160" w:after="80" w:line="288" w:lineRule="auto"/>
      <w:outlineLvl w:val="2"/>
    </w:pPr>
    <w:rPr>
      <w:rFonts w:asciiTheme="majorHAnsi" w:eastAsiaTheme="majorEastAsia" w:hAnsiTheme="majorHAnsi" w:cstheme="majorBidi" w:ascii="黑体" w:hAnsi="黑体" w:eastAsia="黑体"/>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312" w:lineRule="auto"/>
      <w:contextualSpacing/>
    </w:pPr>
    <w:rPr>
      <w:rFonts w:ascii="Times New Roman" w:hAnsi="Times New Roman" w:eastAsia="宋体"/>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line="312" w:lineRule="auto"/>
      <w:contextualSpacing/>
    </w:pPr>
    <w:rPr>
      <w:rFonts w:ascii="Times New Roman" w:hAnsi="Times New Roman" w:eastAsia="宋体"/>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采购服务合同（含 SOW、验收单、变更单）v1.1</dc:title>
  <dc:subject>M01 合同基础设施 · 采购方服务合同</dc:subject>
  <dc:creator>法务OPC</dc:creator>
  <cp:keywords>采购服务合同,SOW,验收,变更,合同模板</cp:keywords>
  <dc:description>2026-10-30 验收修订：与M01正文v0.5和配套v1.1一致；模拟模板，正式使用前核验场景、授权及最新法律。</dc:description>
  <cp:lastModifiedBy>法务OPC</cp:lastModifiedBy>
  <cp:revision>1</cp:revision>
  <dcterms:created xsi:type="dcterms:W3CDTF">2013-12-23T23:15:00Z</dcterms:created>
  <dcterms:modified xsi:type="dcterms:W3CDTF">2013-12-23T23:15:00Z</dcterms:modified>
  <cp:category>合同模板</cp:category>
  <cp:version>v1.1</cp:version>
</cp:coreProperties>
</file>