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120"/>
      </w:pPr>
      <w:r>
        <w:rPr>
          <w:rFonts w:ascii="微软雅黑" w:hAnsi="微软雅黑" w:eastAsia="微软雅黑"/>
          <w:b/>
          <w:i w:val="0"/>
          <w:color w:val="C55A11"/>
          <w:sz w:val="20"/>
        </w:rPr>
        <w:t>法务OPC · 融资治理工具 01</w:t>
      </w:r>
    </w:p>
    <w:p>
      <w:pPr>
        <w:spacing w:before="200" w:after="80"/>
      </w:pPr>
      <w:r>
        <w:rPr>
          <w:rFonts w:ascii="微软雅黑" w:hAnsi="微软雅黑" w:eastAsia="微软雅黑"/>
          <w:b/>
          <w:i w:val="0"/>
          <w:color w:val="1F3864"/>
          <w:sz w:val="52"/>
        </w:rPr>
        <w:t>章程 vs 股东协议一致性核查表</w:t>
      </w:r>
    </w:p>
    <w:p>
      <w:pPr>
        <w:spacing w:before="0" w:after="360"/>
      </w:pPr>
      <w:r>
        <w:rPr>
          <w:rFonts w:ascii="微软雅黑" w:hAnsi="微软雅黑" w:eastAsia="微软雅黑"/>
          <w:b w:val="0"/>
          <w:i w:val="0"/>
          <w:color w:val="2E5C8A"/>
          <w:sz w:val="24"/>
        </w:rPr>
        <w:t>把“文字差异”拆成主体、规则性质、法律后果和整改证据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298"/>
            <w:shd w:fill="1F3864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版本 v0.2   ｜   法源核对日期 2026-10-29   ｜   FIN-CHK-01</w:t>
            </w:r>
          </w:p>
        </w:tc>
      </w:tr>
    </w:tbl>
    <w:p>
      <w:pPr>
        <w:spacing w:before="0" w:after="20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适用范围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境内非上市有限责任公司；多轮融资、多个投资人权利或多主体交易。股份有限公司、国资、外资、上市及跨境/VIE 场景需另做专项核查。</w:t>
            </w:r>
          </w:p>
        </w:tc>
      </w:tr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文件性质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空白模板 + 四类虚构示例。空白部分可直接复制填写；示例中的公司、人物、金额和日期均为教学设定。</w:t>
            </w:r>
          </w:p>
        </w:tc>
      </w:tr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使用前提示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请先阅读本文件“使用说明”。空白模板可直接复制填写；虚构示例仅用于说明字段和判断路径，不对应任何真实公司、交易或个人。</w:t>
            </w:r>
          </w:p>
        </w:tc>
      </w:tr>
      <w:tr>
        <w:trPr>
          <w:cantSplit w:val="true"/>
        </w:trPr>
        <w:tc>
          <w:tcPr>
            <w:tcW w:type="dxa" w:w="1814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法源核对</w:t>
            </w:r>
          </w:p>
        </w:tc>
        <w:tc>
          <w:tcPr>
            <w:tcW w:type="dxa" w:w="748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本文件所列法律、行政法规、司法解释和部门规章，核对日期为 2026-10-29；正式使用前应再次核对效力变化和当地登记/税务口径。</w:t>
            </w:r>
          </w:p>
        </w:tc>
      </w:tr>
    </w:tbl>
    <w:p>
      <w:pPr>
        <w:spacing w:before="0" w:after="12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C55A11"/>
          <w:left w:val="single" w:sz="8" w:space="0" w:color="C55A11"/>
          <w:bottom w:val="single" w:sz="8" w:space="0" w:color="C55A11"/>
          <w:right w:val="single" w:sz="8" w:space="0" w:color="C55A11"/>
          <w:insideH w:val="single" w:sz="8" w:space="0" w:color="C55A11"/>
          <w:insideV w:val="single" w:sz="8" w:space="0" w:color="C55A11"/>
        </w:tblBorders>
      </w:tblPr>
      <w:tblGrid>
        <w:gridCol w:w="9866"/>
      </w:tblGrid>
      <w:tr>
        <w:tc>
          <w:tcPr>
            <w:tcW w:type="dxa" w:w="9298"/>
            <w:shd w:fill="FCE4D6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本文件不是法律意见，不替代对具体交易的事实核查、利益冲突检查和专业判断。涉及重大交易、国资、外资、上市或跨境安排时，应由具备相应资格的专业人士复核。</w:t>
            </w:r>
          </w:p>
        </w:tc>
      </w:tr>
    </w:tbl>
    <w:p>
      <w:r>
        <w:br w:type="page"/>
      </w:r>
    </w:p>
    <w:p>
      <w:pPr>
        <w:pStyle w:val="Heading1"/>
      </w:pPr>
      <w:r>
        <w:t>一、使用说明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这张表不是“找茬清单”。它的用途是把同一事项在章程、SHA、决议和登记中的写法放在一起，分别判断：谁受约束、违反什么规则、产生什么后果、下一步由谁做什么、用什么证据证明做完。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sz w:val="21"/>
        </w:rPr>
        <w:t>建议按以下顺序填写：</w:t>
      </w:r>
    </w:p>
    <w:p>
      <w:pPr>
        <w:pStyle w:val="ListNumber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先定主体和版本：每一行写明涉及主体、章程版本、SHA 版本及签署方；补充协议、加入协议、豁免函要一并编号。</w:t>
      </w:r>
    </w:p>
    <w:p>
      <w:pPr>
        <w:pStyle w:val="ListNumber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再定规则性质：区分法律强制要求、章程/协议可以约定、纯商业安排。不要把商业条款差异写成违法。</w:t>
      </w:r>
    </w:p>
    <w:p>
      <w:pPr>
        <w:pStyle w:val="ListNumber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分别写后果：同一差异可能同时导致决议可撤销、合同违约、登记不能对抗善意相对人、履行条件不具备。不要合并成一句“冲突”。</w:t>
      </w:r>
    </w:p>
    <w:p>
      <w:pPr>
        <w:pStyle w:val="ListNumber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给出整改动作和批准机关：董事会、股东会、双方签署、登记机关，还是只需书面同意；写清谁批准、谁执行、何时完成。</w:t>
      </w:r>
    </w:p>
    <w:p>
      <w:pPr>
        <w:pStyle w:val="ListNumber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留下完成证据：决议、通知与送达回执、同意函、修订页、登记回执、付款回单、股东名册更新页。</w:t>
      </w:r>
    </w:p>
    <w:p>
      <w:pPr>
        <w:pStyle w:val="ListNumber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复核结论只选四类：无实质冲突 / 可并存但需补程序 / 须修订 / 待核实。文字不同但法律效果可以并存的，不必一律标“须修订”。</w:t>
      </w:r>
    </w:p>
    <w:p>
      <w:pPr>
        <w:pStyle w:val="Heading2"/>
      </w:pPr>
      <w:r>
        <w:t>二、结论口径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289"/>
        <w:gridCol w:w="3289"/>
        <w:gridCol w:w="3289"/>
      </w:tblGrid>
      <w:tr>
        <w:trPr>
          <w:tblHeader w:val="true"/>
          <w:cantSplit w:val="true"/>
        </w:trPr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结论</w:t>
            </w:r>
          </w:p>
        </w:tc>
        <w:tc>
          <w:tcPr>
            <w:tcW w:type="dxa" w:w="4706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什么时候用</w:t>
            </w:r>
          </w:p>
        </w:tc>
        <w:tc>
          <w:tcPr>
            <w:tcW w:type="dxa" w:w="289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必须配套的动作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无实质冲突</w:t>
            </w:r>
          </w:p>
        </w:tc>
        <w:tc>
          <w:tcPr>
            <w:tcW w:type="dxa" w:w="4706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章程与 SHA 的写法不同，但权利义务、程序和对外效果可以并存；或差异仅是表述/编号。</w:t>
            </w:r>
          </w:p>
        </w:tc>
        <w:tc>
          <w:tcPr>
            <w:tcW w:type="dxa" w:w="289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记录比对依据；无需修订的，写明理由和复核人。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可并存但需补程序</w:t>
            </w:r>
          </w:p>
        </w:tc>
        <w:tc>
          <w:tcPr>
            <w:tcW w:type="dxa" w:w="4706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实体权利可以成立，但缺少决议、通知、同意、登记、授权或证据；补程序后可以继续。</w:t>
            </w:r>
          </w:p>
        </w:tc>
        <w:tc>
          <w:tcPr>
            <w:tcW w:type="dxa" w:w="289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列明补什么程序、谁批准、何时完成、什么证据；未完成前不得视为已满足。</w:t>
            </w:r>
          </w:p>
        </w:tc>
      </w:tr>
      <w:tr>
        <w:trPr>
          <w:cantSplit w:val="true"/>
        </w:trPr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须修订</w:t>
            </w:r>
          </w:p>
        </w:tc>
        <w:tc>
          <w:tcPr>
            <w:tcW w:type="dxa" w:w="4706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章程或 SHA 的条款与强制性规定冲突，或两者对同一事项给出不能同时执行的安排，必须改文本。</w:t>
            </w:r>
          </w:p>
        </w:tc>
        <w:tc>
          <w:tcPr>
            <w:tcW w:type="dxa" w:w="289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给出修订条款、批准机关、修订版本、登记/备案和过渡安排。</w:t>
            </w:r>
          </w:p>
        </w:tc>
      </w:tr>
      <w:tr>
        <w:trPr>
          <w:cantSplit w:val="true"/>
        </w:trPr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待核实</w:t>
            </w:r>
          </w:p>
        </w:tc>
        <w:tc>
          <w:tcPr>
            <w:tcW w:type="dxa" w:w="4706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缺少官方原文、版本不明、签署方不明、事实未确认，或现行效力状态无法确认。</w:t>
            </w:r>
          </w:p>
        </w:tc>
        <w:tc>
          <w:tcPr>
            <w:tcW w:type="dxa" w:w="289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列明待核实事项、责任人、期限；在核实前不得作为确定性操作指引。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/>
          <w:i w:val="0"/>
          <w:color w:val="C55A11"/>
          <w:sz w:val="18"/>
        </w:rPr>
        <w:t>注意：结论不是对“谁赢”的预测。它只说明当前文件状态下，下一步应当补什么、由谁补、用什么证明。</w:t>
      </w:r>
    </w:p>
    <w:p>
      <w:pPr>
        <w:pStyle w:val="Heading2"/>
      </w:pPr>
      <w:r>
        <w:t>三、填写前的四个检查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公司是不是 SHA 当事人？公司未签署的，原则上不能直接给公司设定义务；需要公司加入、确认或通过章程/决议落实。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同一事项是否同时受强制性规定约束？出资、减资、利润分配、债权人保护、决议程序，不能用合同约定替代法定程序。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决议有没有瑕疵？分别看无效（内容违反法律/行政法规）、可撤销（程序违法/违章或内容违章）、不成立（未开会/未表决/票数不足）。</w:t>
      </w:r>
    </w:p>
    <w:p>
      <w:pPr>
        <w:pStyle w:val="ListBullet"/>
        <w:spacing w:before="0" w:after="40" w:line="300" w:lineRule="auto"/>
        <w:ind w:left="425"/>
      </w:pPr>
      <w:r>
        <w:rPr>
          <w:rFonts w:ascii="微软雅黑" w:hAnsi="微软雅黑" w:eastAsia="微软雅黑"/>
          <w:b w:val="0"/>
          <w:i w:val="0"/>
          <w:sz w:val="20"/>
        </w:rPr>
        <w:t>是否具备履行条件？公司有没有利润、能否减资、债权人是否异议、股权能否过户、资金是否到位；有效约定不等于现在能履行。</w:t>
      </w:r>
    </w:p>
    <w:p>
      <w:pPr>
        <w:sectPr>
          <w:headerReference w:type="default" r:id="rId9"/>
          <w:footerReference w:type="default" r:id="rId10"/>
          <w:pgSz w:w="11906" w:h="16838"/>
          <w:pgMar w:top="1077" w:right="1020" w:bottom="1077" w:left="1020" w:header="454" w:footer="454" w:gutter="0"/>
          <w:cols w:space="720"/>
          <w:titlePg/>
          <w:docGrid w:linePitch="360"/>
        </w:sectPr>
      </w:pPr>
    </w:p>
    <w:p>
      <w:pPr>
        <w:pStyle w:val="Heading1"/>
      </w:pPr>
      <w:r>
        <w:t>四、空白核查表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364"/>
      </w:tblGrid>
      <w:tr>
        <w:tc>
          <w:tcPr>
            <w:tcW w:type="dxa" w:w="9298"/>
            <w:shd w:fill="C55A11" w:val="clear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空白模板 ｜ 可直接复制填写 ｜ 一行一个核查事项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17"/>
        </w:rPr>
        <w:t>填写说明：每行至少填写“事项编号、涉及主体、权利人/义务人、章程条款、SHA 条款及版本、签署方、规则性质、差异、分别产生的法律后果、整改动作、批准机关、责任人、期限、完成证据、复核结论”。字段不足时另附页，但不要删除字段。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rPr>
          <w:tblHeader w:val="true"/>
          <w:cantSplit w:val="true"/>
        </w:trPr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核查事项</w:t>
            </w:r>
          </w:p>
        </w:tc>
        <w:tc>
          <w:tcPr>
            <w:tcW w:type="dxa" w:w="56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事项编号</w:t>
            </w:r>
          </w:p>
        </w:tc>
        <w:tc>
          <w:tcPr>
            <w:tcW w:type="dxa" w:w="68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涉及主体</w:t>
            </w:r>
          </w:p>
        </w:tc>
        <w:tc>
          <w:tcPr>
            <w:tcW w:type="dxa" w:w="96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权利人/义务人</w:t>
            </w:r>
          </w:p>
        </w:tc>
        <w:tc>
          <w:tcPr>
            <w:tcW w:type="dxa" w:w="73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章程条款</w:t>
            </w:r>
          </w:p>
        </w:tc>
        <w:tc>
          <w:tcPr>
            <w:tcW w:type="dxa" w:w="96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SHA 条款及版本</w:t>
            </w:r>
          </w:p>
        </w:tc>
        <w:tc>
          <w:tcPr>
            <w:tcW w:type="dxa" w:w="96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签署方</w:t>
            </w:r>
          </w:p>
        </w:tc>
        <w:tc>
          <w:tcPr>
            <w:tcW w:type="dxa" w:w="73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规则性质</w:t>
            </w:r>
          </w:p>
        </w:tc>
        <w:tc>
          <w:tcPr>
            <w:tcW w:type="dxa" w:w="113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差异</w:t>
            </w:r>
          </w:p>
        </w:tc>
        <w:tc>
          <w:tcPr>
            <w:tcW w:type="dxa" w:w="153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分别产生的法律后果</w:t>
            </w:r>
          </w:p>
        </w:tc>
        <w:tc>
          <w:tcPr>
            <w:tcW w:type="dxa" w:w="130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整改动作</w:t>
            </w:r>
          </w:p>
        </w:tc>
        <w:tc>
          <w:tcPr>
            <w:tcW w:type="dxa" w:w="7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批准机关</w:t>
            </w:r>
          </w:p>
        </w:tc>
        <w:tc>
          <w:tcPr>
            <w:tcW w:type="dxa" w:w="62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责任人</w:t>
            </w:r>
          </w:p>
        </w:tc>
        <w:tc>
          <w:tcPr>
            <w:tcW w:type="dxa" w:w="62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期限</w:t>
            </w:r>
          </w:p>
        </w:tc>
        <w:tc>
          <w:tcPr>
            <w:tcW w:type="dxa" w:w="102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完成证据</w:t>
            </w:r>
          </w:p>
        </w:tc>
        <w:tc>
          <w:tcPr>
            <w:tcW w:type="dxa" w:w="85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4"/>
              </w:rPr>
              <w:t>复核结论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出资期限与瑕疵</w:t>
            </w:r>
          </w:p>
        </w:tc>
        <w:tc>
          <w:tcPr>
            <w:tcW w:type="dxa" w:w="56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CH-01</w:t>
            </w:r>
          </w:p>
        </w:tc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增资与优先认缴</w:t>
            </w:r>
          </w:p>
        </w:tc>
        <w:tc>
          <w:tcPr>
            <w:tcW w:type="dxa" w:w="56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CH-02</w:t>
            </w:r>
          </w:p>
        </w:tc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分红与优先清算</w:t>
            </w:r>
          </w:p>
        </w:tc>
        <w:tc>
          <w:tcPr>
            <w:tcW w:type="dxa" w:w="56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CH-03</w:t>
            </w:r>
          </w:p>
        </w:tc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董事席位与委派</w:t>
            </w:r>
          </w:p>
        </w:tc>
        <w:tc>
          <w:tcPr>
            <w:tcW w:type="dxa" w:w="56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CH-04</w:t>
            </w:r>
          </w:p>
        </w:tc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否决权/保留事项</w:t>
            </w:r>
          </w:p>
        </w:tc>
        <w:tc>
          <w:tcPr>
            <w:tcW w:type="dxa" w:w="56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CH-05</w:t>
            </w:r>
          </w:p>
        </w:tc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股权转让限制/随售领售</w:t>
            </w:r>
          </w:p>
        </w:tc>
        <w:tc>
          <w:tcPr>
            <w:tcW w:type="dxa" w:w="56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CH-06</w:t>
            </w:r>
          </w:p>
        </w:tc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公司回购</w:t>
            </w:r>
          </w:p>
        </w:tc>
        <w:tc>
          <w:tcPr>
            <w:tcW w:type="dxa" w:w="56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CH-07</w:t>
            </w:r>
          </w:p>
        </w:tc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创始人回购/对赌</w:t>
            </w:r>
          </w:p>
        </w:tc>
        <w:tc>
          <w:tcPr>
            <w:tcW w:type="dxa" w:w="56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CH-08</w:t>
            </w:r>
          </w:p>
        </w:tc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代表与签署授权</w:t>
            </w:r>
          </w:p>
        </w:tc>
        <w:tc>
          <w:tcPr>
            <w:tcW w:type="dxa" w:w="56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CH-09</w:t>
            </w:r>
          </w:p>
        </w:tc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关联交易</w:t>
            </w:r>
          </w:p>
        </w:tc>
        <w:tc>
          <w:tcPr>
            <w:tcW w:type="dxa" w:w="56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CH-10</w:t>
            </w:r>
          </w:p>
        </w:tc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信息权/检查权</w:t>
            </w:r>
          </w:p>
        </w:tc>
        <w:tc>
          <w:tcPr>
            <w:tcW w:type="dxa" w:w="56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CH-11</w:t>
            </w:r>
          </w:p>
        </w:tc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旧协议终止/加入</w:t>
            </w:r>
          </w:p>
        </w:tc>
        <w:tc>
          <w:tcPr>
            <w:tcW w:type="dxa" w:w="56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CH-12</w:t>
            </w:r>
          </w:p>
        </w:tc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争议解决</w:t>
            </w:r>
          </w:p>
        </w:tc>
        <w:tc>
          <w:tcPr>
            <w:tcW w:type="dxa" w:w="56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CH-13</w:t>
            </w:r>
          </w:p>
        </w:tc>
        <w:tc>
          <w:tcPr>
            <w:tcW w:type="dxa" w:w="68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4"/>
              </w:rPr>
              <w:t>章程修订与登记</w:t>
            </w:r>
          </w:p>
        </w:tc>
        <w:tc>
          <w:tcPr>
            <w:tcW w:type="dxa" w:w="56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  <w:t>CH-14</w:t>
            </w:r>
          </w:p>
        </w:tc>
        <w:tc>
          <w:tcPr>
            <w:tcW w:type="dxa" w:w="68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96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3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53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30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7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62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102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  <w:tc>
          <w:tcPr>
            <w:tcW w:type="dxa" w:w="85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4"/>
              </w:rPr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6"/>
        </w:rPr>
        <w:t>打印提示：本表为 A4 横向、7 磅正文；如用于正式项目，建议在 Word 中把“分别产生的法律后果”“整改动作”两列加宽，或按事项拆成多页。不要为了塞进一页而缩小到无法阅读。</w:t>
      </w:r>
    </w:p>
    <w:p>
      <w:pPr>
        <w:pStyle w:val="Heading2"/>
      </w:pPr>
      <w:r>
        <w:t>五、字段解释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7682"/>
        <w:gridCol w:w="7682"/>
      </w:tblGrid>
      <w:tr>
        <w:trPr>
          <w:tblHeader w:val="true"/>
          <w:cantSplit w:val="true"/>
        </w:trPr>
        <w:tc>
          <w:tcPr>
            <w:tcW w:type="dxa" w:w="226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字段</w:t>
            </w:r>
          </w:p>
        </w:tc>
        <w:tc>
          <w:tcPr>
            <w:tcW w:type="dxa" w:w="703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填写口径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事项编号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建议用“CH-类别-主体-序号”，例如 CH-10-A-01。与 Data Room 问题编号、会议文件编号可互相引用。</w:t>
            </w:r>
          </w:p>
        </w:tc>
      </w:tr>
      <w:tr>
        <w:trPr>
          <w:cantSplit w:val="true"/>
        </w:trPr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涉及主体</w:t>
            </w:r>
          </w:p>
        </w:tc>
        <w:tc>
          <w:tcPr>
            <w:tcW w:type="dxa" w:w="703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写公司全称/主体代码；涉及多个主体的，写“甲/乙”并说明关系。不要把集团、兄弟公司混成一个主体。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权利人/义务人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谁可以主张、谁必须做什么。同一行有多个权利人的，分行或注明份额。</w:t>
            </w:r>
          </w:p>
        </w:tc>
      </w:tr>
      <w:tr>
        <w:trPr>
          <w:cantSplit w:val="true"/>
        </w:trPr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章程条款</w:t>
            </w:r>
          </w:p>
        </w:tc>
        <w:tc>
          <w:tcPr>
            <w:tcW w:type="dxa" w:w="703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写条款号、版本、生效日期；不要只写“章程第 X 条”。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SHA 条款及版本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写协议名称、签署日期、条款号、版本；补充协议/加入协议/豁免函另起编号。</w:t>
            </w:r>
          </w:p>
        </w:tc>
      </w:tr>
      <w:tr>
        <w:trPr>
          <w:cantSplit w:val="true"/>
        </w:trPr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签署方</w:t>
            </w:r>
          </w:p>
        </w:tc>
        <w:tc>
          <w:tcPr>
            <w:tcW w:type="dxa" w:w="703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列明公司、创始人、投资人、关联方；公司未签署的，要特别标注。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规则性质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法律强制/章程可约定/合同义务/纯商业安排/待核实。不要把“行业惯例”写成法律要求。</w:t>
            </w:r>
          </w:p>
        </w:tc>
      </w:tr>
      <w:tr>
        <w:trPr>
          <w:cantSplit w:val="true"/>
        </w:trPr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差异</w:t>
            </w:r>
          </w:p>
        </w:tc>
        <w:tc>
          <w:tcPr>
            <w:tcW w:type="dxa" w:w="703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只写事实差异，不写结论。例如“章程只要求董事会过半数；SHA 要求投资人书面同意”。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分别产生的法律后果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分别写：决议效力、合同责任、登记/对外效果、履行条件。没有把握的写“待核实”。</w:t>
            </w:r>
          </w:p>
        </w:tc>
      </w:tr>
      <w:tr>
        <w:trPr>
          <w:cantSplit w:val="true"/>
        </w:trPr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整改动作</w:t>
            </w:r>
          </w:p>
        </w:tc>
        <w:tc>
          <w:tcPr>
            <w:tcW w:type="dxa" w:w="703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补签署/补同意/修章程/重做决议/补登记/暂缓交割/调整交易。动作要可执行。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批准机关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董事会/股东会/双方签署/登记机关/无需批准。注意关联董事回避和股东回避的不同规则。</w:t>
            </w:r>
          </w:p>
        </w:tc>
      </w:tr>
      <w:tr>
        <w:trPr>
          <w:cantSplit w:val="true"/>
        </w:trPr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责任人/期限</w:t>
            </w:r>
          </w:p>
        </w:tc>
        <w:tc>
          <w:tcPr>
            <w:tcW w:type="dxa" w:w="703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写具体岗位或姓名（示例用虚构人物），不要只写“法务”。期限写日期或天数。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完成证据</w:t>
            </w:r>
          </w:p>
        </w:tc>
        <w:tc>
          <w:tcPr>
            <w:tcW w:type="dxa" w:w="703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决议、通知/送达回执、同意函、修订页、登记回执、付款回单、股东名册、会议记录。</w:t>
            </w:r>
          </w:p>
        </w:tc>
      </w:tr>
      <w:tr>
        <w:trPr>
          <w:cantSplit w:val="true"/>
        </w:trPr>
        <w:tc>
          <w:tcPr>
            <w:tcW w:type="dxa" w:w="226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复核结论</w:t>
            </w:r>
          </w:p>
        </w:tc>
        <w:tc>
          <w:tcPr>
            <w:tcW w:type="dxa" w:w="703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四选一：无实质冲突/可并存但需补程序/须修订/待核实。</w:t>
            </w:r>
          </w:p>
        </w:tc>
      </w:tr>
    </w:tbl>
    <w:p>
      <w:pPr>
        <w:sectPr>
          <w:pgSz w:w="16838" w:h="11906" w:orient="landscape"/>
          <w:pgMar w:top="850" w:right="737" w:bottom="850" w:left="737" w:header="397" w:footer="397" w:gutter="0"/>
          <w:cols w:space="720"/>
          <w:titlePg/>
          <w:docGrid w:linePitch="360"/>
        </w:sectPr>
      </w:pPr>
    </w:p>
    <w:p>
      <w:pPr>
        <w:pStyle w:val="Heading1"/>
      </w:pPr>
      <w:r>
        <w:t>六、已填示例（虚构）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298"/>
            <w:shd w:fill="C55A11" w:val="clear"/>
            <w:vAlign w:val="center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虚构示例 ｜ 不对应任何真实公司、交易或个人 ｜ 仅说明字段填法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以下四个示例与本任务正文、会议文件包、Data Room、交割清单使用同一套虚构主体和时间线。示例中的结论用于教学，不构成对真实交易的意见。</w:t>
      </w:r>
    </w:p>
    <w:p>
      <w:pPr>
        <w:pStyle w:val="Heading2"/>
      </w:pPr>
      <w:r>
        <w:t>示例 1：章程与 SHA 的同意权冲突（甲公司关联交易）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事项编号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CH-10-A-01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涉及主体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甲公司（栖榫测量科技有限公司，虚构，代码 A）；乙公司（砾舟系统技术有限公司，虚构，代码 B）；共同创始人周砚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权利人/义务人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权利人：甲投资人岚序（杭州岚序创业投资合伙企业（有限合伙），虚构）；义务人：甲公司、周砚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章程条款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甲章程 v4 第 8.3 条：关联交易经董事会过半数通过；第 9.2 条：修改章程、增减资等特别决议经 2/3 以上表决权通过。章程未写投资人同意权。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SHA 条款及版本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 SHA v3（2024-06-18）第 7.2 条：单笔或年度累计超过 30 万元的关联交易，需岚序书面同意。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签署方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甲公司、周砚、岚序。乙公司不是甲 SHA 当事人。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规则性质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章程程序 + SHA 合同义务；关联交易本身不是当然无效的强制禁止事项。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差异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章程只要求董事会过半数；SHA 要求岚序书面同意；章程没有把该同意权写进去。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分别产生的法律后果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1）甲董事会 3 人，周砚为关联董事，回避后仅 2 名无关联董事，不足 3 人，按《公司法》第 185 条应提交股东会，不能由董事会最终批准；2）未取得岚序同意，不当然使股东会决议无效，但甲/周砚可能违反 SHA；3）乙的交割条件不满足；4）未登记/未披露不影响善意相对人规则，但内部责任另算。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整改动作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甲董事会 2026-09-01 只作“提交股东会”的提案；2026-09-21 股东会审议；岚序同日出具书面同意；下一次章程修订时把同意权写入章程；乙把同意函列为交割条件。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批准机关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甲股东会；岚序书面同意（合同同意，不是公司机关决议）。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责任人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甲法务负责人（虚构人物：甲法务 陆岑）；甲董秘（虚构人物：甲董秘 许禾）。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期限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2026-09-21 股东会前完成；2026-09-22 签约前复核。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完成证据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A-BM-2026-01 董事会决议；A-SM-2026-01 股东会决议；岚序同意函（编号 A-CONSENT-01）；会议通知与送达回执；章程修订对照表。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复核结论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可并存但需补程序</w:t>
            </w:r>
          </w:p>
        </w:tc>
      </w:tr>
    </w:tbl>
    <w:p>
      <w:r>
        <w:br w:type="page"/>
      </w:r>
    </w:p>
    <w:p>
      <w:pPr>
        <w:pStyle w:val="Heading2"/>
      </w:pPr>
      <w:r>
        <w:t>示例 2：公司回购（乙公司）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事项编号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CH-07-B-01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涉及主体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乙公司（砾舟系统技术有限公司，虚构，代码 B）；青禾（青禾二期创业投资合伙企业（有限合伙），虚构；600 万元投资，其中 25 万元注册资本、575 万元溢价）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权利人/义务人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权利人：青禾；义务人：乙公司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章程条款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乙章程 v6 第 10.1 条：公司回购股权须经股东会 2/3 以上表决权通过，并依法减少注册资本；未写价格公式和触发条件。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SHA 条款及版本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 SHA（2026-09-22）第 9.1 条：特定触发事件下，公司按投资本金 600 万元 + 8% 单利回购青禾 20% 股权。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签署方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乙公司、周砚、林澈、顾惟、青禾。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规则性质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合同义务 + 资本维持/减资强制程序；不能以合同约定替代债权人保护。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差异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章程要求减资程序但未写价格；SHA 写价格但未写减资、债权人和登记程序。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分别产生的法律后果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1）回购约定不因存在回购安排当然无效；2）实际履行需股东会 2/3 决议、资产负债表及财产清单、10 日内通知债权人、30 日内公告、清偿或担保；3）未完成减资，法院可能不支持实际履行（参考《九民纪要》第 5 条思路）；4）不得抽逃出资。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整改动作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在 SHA 中补充“以依法完成减资和债权人保护为前提”；触发时先做减资方案；财务测算可分配利润/现金流；准备债权人通知/公告模板；如适用第 89 条，6 个月内注销或转让；减资路径按登记要求。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批准机关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乙股东会（2/3 以上）；债权人保护程序（通知/公告，不是“批准机关”）。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责任人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乙法务负责人（虚构人物：乙法务 邵棠）；乙财务负责人（虚构人物：乙财务 闻启）。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期限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触发后 30 日内启动；股东会决议后 10 日内通知债权人、30 日内公告；如适用第 89 条，回购后 6 个月内注销/转让；减资路径按登记要求。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完成证据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>
              <w:t>股东会决议；2029-02-28 基准日资产负债表及财产清单；债权人通知/公告；付款回单；注销/转让文件；变更登记回执；税务资料。</w:t>
            </w:r>
            <w:r>
              <w:rPr>
                <w:rFonts w:ascii="微软雅黑" w:hAnsi="微软雅黑" w:eastAsia="微软雅黑"/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复核结论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可并存但需补程序</w:t>
            </w:r>
          </w:p>
        </w:tc>
      </w:tr>
    </w:tbl>
    <w:p>
      <w:r>
        <w:br w:type="page"/>
      </w:r>
    </w:p>
    <w:p>
      <w:pPr>
        <w:pStyle w:val="Heading2"/>
      </w:pPr>
      <w:r>
        <w:t>示例 3：创始人回购（乙公司）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事项编号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CH-08-B-01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涉及主体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乙公司；创始人周砚；青禾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权利人/义务人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权利人：青禾；义务人：周砚（个人）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章程条款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乙章程未规定创始人个人回购；章程只规定公司回购/减资程序。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SHA 条款及版本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 SHA 第 9.2 条：触发事件下，周砚以个人资金按 600 万元 + 8% 单利受让青禾股权；30 日内付款，60 日内完成股权转让。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签署方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乙公司、周砚、林澈、顾惟、青禾。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规则性质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个人合同义务；公司原则上不承担连带责任；如公司担保，另按《公司法》第 15 条决议。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差异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章程没有个人回购安排；SHA 有；义务人是周砚，不是乙公司。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分别产生的法律后果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1）周砚个人承担回购/受让义务；2）乙公司不因 SHA 约定当然成为共同债务人；3）如乙公司提供担保，须股东会决议，周砚或受其支配的股东不得参加表决；4）周砚是现有股东，股东之间转让适用《公司法》第 84 条第 1 款；第 2 款优先购买权针对向股东以外的人转让。仍需核对章程是否对股东之间转让另有约定，并更新股东名册、章程记载和登记。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整改动作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在 SHA 中明确“公司不承担连带责任、不得代付”；触发时向周砚发通知；周砚以个人资金付款；签署股权转让协议；核对章程对股东之间转让的限制，如章程要求同意/通知则取得相应文件；更新股东名册/出资证明；办理登记/备案；确认税务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批准机关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无需公司决议（除公司担保）；股权转让按《公司法》第 84 条及章程处理。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责任人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周砚；乙法务 邵棠；乙董秘（虚构人物：乙董秘 罗青）。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期限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通知后 30 日内付款；60 日内完成股权转让/名册更新；登记按当地要求。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完成证据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回购通知；周砚付款回单；股权转让协议；章程要求的同意/通知文件（如有）；股东名册；出资证明；登记/备案回执；税务申报。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复核结论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可并存但需补程序</w:t>
            </w:r>
          </w:p>
        </w:tc>
      </w:tr>
    </w:tbl>
    <w:p>
      <w:r>
        <w:br w:type="page"/>
      </w:r>
    </w:p>
    <w:p>
      <w:pPr>
        <w:pStyle w:val="Heading2"/>
      </w:pPr>
      <w:r>
        <w:t>示例 4：双主体信息权（甲公司/乙公司）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事项编号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CH-11-AB-01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涉及主体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甲公司；乙公司；岚序；青禾；共同创始人周砚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权利人/义务人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权利人：岚序（对甲）、青禾（对乙）；义务人：甲公司、乙公司分别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章程条款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甲章程第 12 条、乙章程第 12 条分别规定股东查阅/复制权；两份章程都没有把对方公司写成资料提供义务人。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SHA 条款及版本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 SHA 第 8 条：岚序信息权；乙 SHA 第 8 条：青禾信息权。两份 SHA 的当事人分别只有本公司股东，甲/乙互不为对方 SHA 当事人。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签署方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 SHA：甲、周砚、岚序；乙 SHA：乙、周砚、林澈、顾惟、青禾。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规则性质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法定查阅权 + 合同信息权；公司边界和合同相对性。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差异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岚序不是乙股东；青禾不是甲股东；甲不是乙的全资母公司；两份 SHA 都没有把对方公司列为义务人。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分别产生的法律后果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1）岚序不能依《公司法》第 57 条查阅乙的账簿（乙不是甲的全资子公司）；2）岚序不能依甲 SHA 要求乙提供资料，乙不是该 SHA 当事人；3）青禾对甲同理；4）共同创始人周砚的身份不产生跨主体法定查阅权。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整改动作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如确需跨主体资料，由甲、乙另行签署《资料提供与保密协议》，明确清单、用途、期限、脱敏、访问权限和违约责任；或由资料提供方在有权范围内出具同意函；不能把“共同创始人”当作依据。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批准机关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甲、乙各自有权机关；资料提供方同意；涉及个人信息/客户数据的，完成脱敏或取得同意。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责任人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甲法务 陆岑；乙法务 邵棠；双方董秘。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期限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交割前完成协议；资料提供前完成脱敏/权限设置。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完成证据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独立资料提供与保密协议；资料清单；脱敏记录；访问权限记录；同意函（如有）。</w:t>
            </w:r>
          </w:p>
        </w:tc>
      </w:tr>
      <w:tr>
        <w:trPr>
          <w:cantSplit w:val="true"/>
        </w:trPr>
        <w:tc>
          <w:tcPr>
            <w:tcW w:type="dxa" w:w="2041"/>
            <w:shd w:fill="D9E2F3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7"/>
              </w:rPr>
              <w:t>复核结论</w:t>
            </w:r>
          </w:p>
        </w:tc>
        <w:tc>
          <w:tcPr>
            <w:tcW w:type="dxa" w:w="725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无实质冲突</w:t>
            </w:r>
          </w:p>
        </w:tc>
      </w:tr>
    </w:tbl>
    <w:p>
      <w:r>
        <w:br w:type="page"/>
      </w:r>
    </w:p>
    <w:p>
      <w:pPr>
        <w:pStyle w:val="Heading1"/>
      </w:pPr>
      <w:r>
        <w:t>七、复核结论与签认</w:t>
      </w:r>
    </w:p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sz w:val="21"/>
        </w:rPr>
        <w:t>复核人不要只签“同意”。至少写：结论、限制条件、未完成事项、下次复核触发点。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33"/>
        <w:gridCol w:w="4933"/>
      </w:tblGrid>
      <w:tr>
        <w:trPr>
          <w:tblHeader w:val="true"/>
          <w:cantSplit w:val="true"/>
        </w:trPr>
        <w:tc>
          <w:tcPr>
            <w:tcW w:type="dxa" w:w="249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项目</w:t>
            </w:r>
          </w:p>
        </w:tc>
        <w:tc>
          <w:tcPr>
            <w:tcW w:type="dxa" w:w="6803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本轮核查范围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主体：__________；章程版本：__________；SHA 版本：__________；补充协议/豁免函：__________。</w:t>
            </w:r>
          </w:p>
        </w:tc>
      </w:tr>
      <w:tr>
        <w:trPr>
          <w:cantSplit w:val="true"/>
        </w:trPr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结论汇总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无实质冲突 ____ 项；可并存但需补程序 ____ 项；须修订 ____ 项；待核实 ____ 项。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阻断交割的事项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__________________________________________________________________________</w:t>
            </w:r>
          </w:p>
        </w:tc>
      </w:tr>
      <w:tr>
        <w:trPr>
          <w:cantSplit w:val="true"/>
        </w:trPr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未完成整改及期限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__________________________________________________________________________</w:t>
            </w:r>
          </w:p>
        </w:tc>
      </w:tr>
      <w:tr>
        <w:trPr>
          <w:cantSplit w:val="true"/>
        </w:trPr>
        <w:tc>
          <w:tcPr>
            <w:tcW w:type="dxa" w:w="249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复核人/日期</w:t>
            </w:r>
          </w:p>
        </w:tc>
        <w:tc>
          <w:tcPr>
            <w:tcW w:type="dxa" w:w="6803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__________________________ / __________</w:t>
            </w:r>
          </w:p>
        </w:tc>
      </w:tr>
      <w:tr>
        <w:trPr>
          <w:cantSplit w:val="true"/>
        </w:trPr>
        <w:tc>
          <w:tcPr>
            <w:tcW w:type="dxa" w:w="249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sz w:val="18"/>
              </w:rPr>
              <w:t>业务/公司秘书/外部律师会签</w:t>
            </w:r>
          </w:p>
        </w:tc>
        <w:tc>
          <w:tcPr>
            <w:tcW w:type="dxa" w:w="6803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8"/>
              </w:rPr>
              <w:t>__________________________ / __________________________ / __________________________</w:t>
            </w:r>
          </w:p>
        </w:tc>
      </w:tr>
    </w:tbl>
    <w:p>
      <w:pPr>
        <w:pStyle w:val="Heading1"/>
      </w:pPr>
      <w:r>
        <w:t>八、主要依据与版本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289"/>
        <w:gridCol w:w="3289"/>
        <w:gridCol w:w="3289"/>
      </w:tblGrid>
      <w:tr>
        <w:trPr>
          <w:tblHeader w:val="true"/>
          <w:cantSplit w:val="true"/>
        </w:trPr>
        <w:tc>
          <w:tcPr>
            <w:tcW w:type="dxa" w:w="4535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依据</w:t>
            </w:r>
          </w:p>
        </w:tc>
        <w:tc>
          <w:tcPr>
            <w:tcW w:type="dxa" w:w="3628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本表用途</w:t>
            </w:r>
          </w:p>
        </w:tc>
        <w:tc>
          <w:tcPr>
            <w:tcW w:type="dxa" w:w="1134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核对日期</w:t>
            </w:r>
          </w:p>
        </w:tc>
      </w:tr>
      <w:tr>
        <w:trPr>
          <w:cantSplit w:val="true"/>
        </w:trPr>
        <w:tc>
          <w:tcPr>
            <w:tcW w:type="dxa" w:w="45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《公司法》第 5、25—28、34、40、57、59、62—66、67—73、84—89、180—185、210—212、224—228、236 条</w:t>
            </w:r>
          </w:p>
        </w:tc>
        <w:tc>
          <w:tcPr>
            <w:tcW w:type="dxa" w:w="36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章程约束、决议效力、会议/表决、股权转让、回购、关联交易、分配、减资、清算</w:t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  <w:tr>
        <w:trPr>
          <w:cantSplit w:val="true"/>
        </w:trPr>
        <w:tc>
          <w:tcPr>
            <w:tcW w:type="dxa" w:w="45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《民法典》第 61、85、143、153、161—172、465、502、504、509、545—556 条</w:t>
            </w:r>
          </w:p>
        </w:tc>
        <w:tc>
          <w:tcPr>
            <w:tcW w:type="dxa" w:w="36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代表/代理、合同效力、越权、履行、权利义务转让</w:t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  <w:tr>
        <w:trPr>
          <w:cantSplit w:val="true"/>
        </w:trPr>
        <w:tc>
          <w:tcPr>
            <w:tcW w:type="dxa" w:w="45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《公司法》时间效力规定（法释〔2024〕7 号）第 1—8 条</w:t>
            </w:r>
          </w:p>
        </w:tc>
        <w:tc>
          <w:tcPr>
            <w:tcW w:type="dxa" w:w="36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历史协议/行为的法律适用</w:t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  <w:tr>
        <w:trPr>
          <w:cantSplit w:val="true"/>
        </w:trPr>
        <w:tc>
          <w:tcPr>
            <w:tcW w:type="dxa" w:w="4535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《九民纪要》第 5 条及印发通知</w:t>
            </w:r>
          </w:p>
        </w:tc>
        <w:tc>
          <w:tcPr>
            <w:tcW w:type="dxa" w:w="3628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目标公司回购的效力与履行区分；纪要不是司法解释</w:t>
            </w:r>
          </w:p>
        </w:tc>
        <w:tc>
          <w:tcPr>
            <w:tcW w:type="dxa" w:w="1134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  <w:tr>
        <w:trPr>
          <w:cantSplit w:val="true"/>
        </w:trPr>
        <w:tc>
          <w:tcPr>
            <w:tcW w:type="dxa" w:w="4535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《国务院关于实施〈公司法〉注册资本登记管理制度的规定》（国务院令第 784 号）第 2—4 条；《公司登记管理实施办法》（市场监管总局令第 95 号）第 5—11 条</w:t>
            </w:r>
          </w:p>
        </w:tc>
        <w:tc>
          <w:tcPr>
            <w:tcW w:type="dxa" w:w="3628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出资期限、存量过渡、增资缴足、信息公示</w:t>
            </w:r>
          </w:p>
        </w:tc>
        <w:tc>
          <w:tcPr>
            <w:tcW w:type="dxa" w:w="1134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</w:tr>
    </w:tbl>
    <w:p>
      <w:pPr>
        <w:spacing w:before="0" w:after="80" w:line="307" w:lineRule="auto"/>
        <w:jc w:val="both"/>
      </w:pPr>
      <w:r>
        <w:rPr>
          <w:rFonts w:ascii="微软雅黑" w:hAnsi="微软雅黑" w:eastAsia="微软雅黑"/>
          <w:b w:val="0"/>
          <w:i w:val="0"/>
          <w:color w:val="808080"/>
          <w:sz w:val="18"/>
        </w:rPr>
        <w:t>官方链接见 M05 正文“法源核对”表。无法取得官方原文或无法确认现行状态的事项，保留“待核实”，不得写成确定性操作指引。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3289"/>
        <w:gridCol w:w="3289"/>
        <w:gridCol w:w="3289"/>
      </w:tblGrid>
      <w:tr>
        <w:trPr>
          <w:tblHeader w:val="true"/>
          <w:cantSplit w:val="true"/>
        </w:trPr>
        <w:tc>
          <w:tcPr>
            <w:tcW w:type="dxa" w:w="1247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版本</w:t>
            </w:r>
          </w:p>
        </w:tc>
        <w:tc>
          <w:tcPr>
            <w:tcW w:type="dxa" w:w="1701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日期</w:t>
            </w:r>
          </w:p>
        </w:tc>
        <w:tc>
          <w:tcPr>
            <w:tcW w:type="dxa" w:w="6350"/>
            <w:shd w:fill="1F3864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变更</w:t>
            </w:r>
          </w:p>
        </w:tc>
      </w:tr>
      <w:tr>
        <w:trPr>
          <w:cantSplit w:val="true"/>
        </w:trPr>
        <w:tc>
          <w:tcPr>
            <w:tcW w:type="dxa" w:w="1247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v0.2</w:t>
            </w:r>
          </w:p>
        </w:tc>
        <w:tc>
          <w:tcPr>
            <w:tcW w:type="dxa" w:w="1701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2026-10-29</w:t>
            </w:r>
          </w:p>
        </w:tc>
        <w:tc>
          <w:tcPr>
            <w:tcW w:type="dxa" w:w="6350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扩展为 15 字段核查表；增加结论口径、字段解释、四类虚构示例、复核签认和法源依据；删除无依据的时间/轮次概括。</w:t>
            </w:r>
          </w:p>
        </w:tc>
      </w:tr>
      <w:tr>
        <w:trPr>
          <w:cantSplit w:val="true"/>
        </w:trPr>
        <w:tc>
          <w:tcPr>
            <w:tcW w:type="dxa" w:w="1247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v0.1</w:t>
            </w:r>
          </w:p>
        </w:tc>
        <w:tc>
          <w:tcPr>
            <w:tcW w:type="dxa" w:w="1701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2026-10-27</w:t>
            </w:r>
          </w:p>
        </w:tc>
        <w:tc>
          <w:tcPr>
            <w:tcW w:type="dxa" w:w="6350"/>
            <w:shd w:fill="EEF3FA" w:val="clear"/>
            <w:vAlign w:val="center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sz w:val="17"/>
              </w:rPr>
              <w:t>六条款核对表 + 执行记录；作为初版模板。</w:t>
            </w:r>
          </w:p>
        </w:tc>
      </w:tr>
    </w:tbl>
    <w:sectPr w:rsidR="00FC693F" w:rsidRPr="0006063C" w:rsidSect="00034616">
      <w:pgSz w:w="11906" w:h="16838"/>
      <w:pgMar w:top="1077" w:right="1020" w:bottom="1077" w:left="1020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i w:val="0"/>
        <w:color w:val="808080"/>
        <w:sz w:val="16"/>
      </w:rPr>
      <w:t xml:space="preserve">法务OPC · 融资治理工具   第 </w:t>
    </w:r>
    <w:r>
      <w:rPr>
        <w:rFonts w:ascii="微软雅黑" w:hAnsi="微软雅黑" w:eastAsia="微软雅黑"/>
        <w:b w:val="0"/>
        <w:i w:val="0"/>
        <w:color w:val="808080"/>
        <w:sz w:val="16"/>
      </w:rPr>
      <w:fldChar w:fldCharType="begin"/>
      <w:instrText xml:space="preserve">PAGE</w:instrText>
      <w:fldChar w:fldCharType="end"/>
    </w:r>
    <w:r>
      <w:rPr>
        <w:rFonts w:ascii="微软雅黑" w:hAnsi="微软雅黑" w:eastAsia="微软雅黑"/>
        <w:b w:val="0"/>
        <w:i w:val="0"/>
        <w:color w:val="808080"/>
        <w:sz w:val="16"/>
      </w:rPr>
      <w:t xml:space="preserve"> 页 / 共 </w:t>
    </w:r>
    <w:r>
      <w:rPr>
        <w:rFonts w:ascii="微软雅黑" w:hAnsi="微软雅黑" w:eastAsia="微软雅黑"/>
        <w:b w:val="0"/>
        <w:i w:val="0"/>
        <w:color w:val="808080"/>
        <w:sz w:val="16"/>
      </w:rPr>
      <w:fldChar w:fldCharType="begin"/>
      <w:instrText xml:space="preserve">NUMPAGES</w:instrText>
      <w:fldChar w:fldCharType="end"/>
    </w:r>
    <w:r>
      <w:rPr>
        <w:rFonts w:ascii="微软雅黑" w:hAnsi="微软雅黑" w:eastAsia="微软雅黑"/>
        <w:b w:val="0"/>
        <w:i w:val="0"/>
        <w:color w:val="808080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微软雅黑" w:hAnsi="微软雅黑" w:eastAsia="微软雅黑"/>
        <w:b w:val="0"/>
        <w:i w:val="0"/>
        <w:color w:val="808080"/>
        <w:sz w:val="16"/>
      </w:rPr>
      <w:t>法务OPC ｜ 章程 vs 股东协议一致性核查表 v0.2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7" w:lineRule="auto" w:after="80"/>
    </w:pPr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1F386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2E5C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1F386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章程 vs 股东协议一致性核查表 v0.2</dc:title>
  <dc:subject>融资治理、章程/SHA 冲突、公司及创始人回购、双主体信息权</dc:subject>
  <dc:creator/>
  <cp:keywords>章程, 股东协议, SHA, 回购, 关联交易, 融资治理</cp:keywords>
  <dc:description>模拟模板，不构成法律意见。</dc:description>
  <cp:lastModifiedBy/>
  <cp:revision>1</cp:revision>
  <dcterms:created xsi:type="dcterms:W3CDTF">2013-12-23T23:15:00Z</dcterms:created>
  <dcterms:modified xsi:type="dcterms:W3CDTF">2013-12-23T23:15:00Z</dcterms:modified>
  <cp:category/>
  <dc:language>zh-CN</dc:language>
</cp:coreProperties>
</file>