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120"/>
      </w:pPr>
      <w:r>
        <w:rPr>
          <w:rFonts w:ascii="微软雅黑" w:hAnsi="微软雅黑" w:eastAsia="微软雅黑"/>
          <w:b/>
          <w:i w:val="0"/>
          <w:color w:val="C55A11"/>
          <w:sz w:val="20"/>
        </w:rPr>
        <w:t>法务OPC · 融资治理工具 05</w:t>
      </w:r>
    </w:p>
    <w:p>
      <w:pPr>
        <w:spacing w:before="200" w:after="80"/>
      </w:pPr>
      <w:r>
        <w:rPr>
          <w:rFonts w:ascii="微软雅黑" w:hAnsi="微软雅黑" w:eastAsia="微软雅黑"/>
          <w:b/>
          <w:i w:val="0"/>
          <w:color w:val="1F3864"/>
          <w:sz w:val="52"/>
        </w:rPr>
        <w:t>独立虚构双主体案例</w:t>
      </w:r>
    </w:p>
    <w:p>
      <w:pPr>
        <w:spacing w:before="0" w:after="360"/>
      </w:pPr>
      <w:r>
        <w:rPr>
          <w:rFonts w:ascii="微软雅黑" w:hAnsi="微软雅黑" w:eastAsia="微软雅黑"/>
          <w:b w:val="0"/>
          <w:i w:val="0"/>
          <w:color w:val="2E5C8A"/>
          <w:sz w:val="24"/>
        </w:rPr>
        <w:t>栖榫测量（A）与砾舟系统（B）：同一时间线下的分别分析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298"/>
            <w:shd w:fill="1F3864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版本 v0.1   ｜   法源核对日期 2026-10-29   ｜   FIN-CASE-01</w:t>
            </w:r>
          </w:p>
        </w:tc>
      </w:tr>
    </w:tbl>
    <w:p>
      <w:pPr>
        <w:spacing w:before="0" w:after="20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76"/>
        <w:gridCol w:w="4876"/>
      </w:tblGrid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适用范围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境内非上市有限责任公司；用于练习章程/SHA 冲突、关联交易、增资修章、资料许可、公司/创始人回购和双主体权利边界。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文件性质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完全虚构案例。公司、人物、金额、日期、合同和事实均为教学设定，不对应任何真实公司、真实交易或真实个人。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使用前提示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请先阅读本文件“使用说明”。空白模板可直接复制填写；虚构示例仅用于说明字段和判断路径，不对应任何真实公司、交易或个人。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法源核对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本文件所列法律、行政法规、司法解释和部门规章，核对日期为 2026-10-29；正式使用前应再次核对效力变化和当地登记/税务口径。</w:t>
            </w:r>
          </w:p>
        </w:tc>
      </w:tr>
    </w:tbl>
    <w:p>
      <w:pPr>
        <w:spacing w:before="0" w:after="12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55A11"/>
          <w:left w:val="single" w:sz="8" w:space="0" w:color="C55A11"/>
          <w:bottom w:val="single" w:sz="8" w:space="0" w:color="C55A11"/>
          <w:right w:val="single" w:sz="8" w:space="0" w:color="C55A11"/>
          <w:insideH w:val="single" w:sz="8" w:space="0" w:color="C55A11"/>
          <w:insideV w:val="single" w:sz="8" w:space="0" w:color="C55A11"/>
        </w:tblBorders>
      </w:tblPr>
      <w:tblGrid>
        <w:gridCol w:w="9752"/>
      </w:tblGrid>
      <w:tr>
        <w:tc>
          <w:tcPr>
            <w:tcW w:type="dxa" w:w="9298"/>
            <w:shd w:fill="FCE4D6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本文件不是法律意见，不替代对具体交易的事实核查、利益冲突检查和专业判断。涉及重大交易、国资、外资、上市或跨境安排时，应由具备相应资格的专业人士复核。</w:t>
            </w:r>
          </w:p>
        </w:tc>
      </w:tr>
    </w:tbl>
    <w:p>
      <w:r>
        <w:br w:type="page"/>
      </w:r>
    </w:p>
    <w:p>
      <w:pPr>
        <w:pStyle w:val="Heading1"/>
      </w:pPr>
      <w:r>
        <w:t>一、案例说明与使用方式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这个案例故意把两件事放在同一条时间线上：甲公司向乙公司许可校准资料，乙公司同时引入新投资人。两件事有共同创始人、有关联交易、有交割条件，但它们是两份合同、两个付款关系、两个公司机关决策。案例要练习的不是“把交易做成”，而是“在每一个节点说清楚谁有权、谁义务、谁付款、谁承担违约”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先读事实总表和时间线，确认主体、股权、金额、日期；不要凭印象补事实。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再分别读甲、乙两节；每节都按“权利基础—决策程序—履行证据—边界”展开。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最后读双方关系、退出分支和失败分支；练习在同一触发事实下，比较公司回购与创始人回购。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所有结论都应能回到 M05 正文、核查表、Data Room、会议文件包或交割清单中的具体字段；不能只写“有风险”。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55A11"/>
          <w:left w:val="single" w:sz="8" w:space="0" w:color="C55A11"/>
          <w:bottom w:val="single" w:sz="8" w:space="0" w:color="C55A11"/>
          <w:right w:val="single" w:sz="8" w:space="0" w:color="C55A11"/>
          <w:insideH w:val="single" w:sz="8" w:space="0" w:color="C55A11"/>
          <w:insideV w:val="single" w:sz="8" w:space="0" w:color="C55A11"/>
        </w:tblBorders>
      </w:tblPr>
      <w:tblGrid>
        <w:gridCol w:w="9752"/>
      </w:tblGrid>
      <w:tr>
        <w:tc>
          <w:tcPr>
            <w:tcW w:type="dxa" w:w="9298"/>
            <w:shd w:fill="FCE4D6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本案例不是对任何真实公司的模拟，也不对真实交易给出结论。案例中的“通过”“满足”“已豁免”都是教学设计，正式项目必须按实际文件、实际日期和适用法律重新核对。</w:t>
            </w:r>
          </w:p>
        </w:tc>
      </w:tr>
    </w:tbl>
    <w:p>
      <w:pPr>
        <w:pStyle w:val="Heading1"/>
      </w:pPr>
      <w:r>
        <w:t>二、事实总表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51"/>
        <w:gridCol w:w="3251"/>
        <w:gridCol w:w="3251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85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甲公司（栖榫测量科技有限公司，虚构，代码 A）</w:t>
            </w:r>
          </w:p>
        </w:tc>
        <w:tc>
          <w:tcPr>
            <w:tcW w:type="dxa" w:w="385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乙公司（砾舟系统技术有限公司，虚构，代码 B）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业务及资产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生产测量设备；持有校准资料、设备及相关客户合同。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开发离线分析软件；持有自身代码及客户合同。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股权（融资前）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共同创始人周砚 60%；甲投资人杭州岚序创业投资合伙企业（有限合伙）40%。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创始人周砚 55%；技术合伙人林澈 25%；乙原投资人宁波砾原投资合伙企业（有限合伙）20%。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主体关系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与乙无交叉持股，不是母子公司；周砚为甲、乙共同创始人。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与甲存在共同创始人周砚及拟议关联交易；不是甲的全资/控股子公司。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本次交易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向乙提供有偿、限定范围的校准资料使用许可；不转让资料所有权，不转让客户合同。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引入青禾二期创业投资合伙企业（有限合伙）600 万元；新增注册资本 25 万元，溢价 575 万元。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融资结果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股权不变；岚序 40% 及原有股东权利继续留在甲。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注册资本 100 万元增至 125 万元；融资后周砚 44%、林澈 20%、顾惟/砾原 16%、青禾 20%。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董事会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3 人：周砚、唐沐（岚序提名）、苏芮（独立）。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融资前 3 人：周砚、林澈、顾惟（砾原提名）；融资后 5 人，增加沈岚（青禾提名）、方既白（独立）。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本次签署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甲—乙《校准资料使用许可合同》v1.0 及附件一。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乙—青禾《增资协议》《股东协议》《加入协议》；乙章程修订；甲—乙许可合同（作为交割条件）。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付款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乙向甲支付许可费 60 万元/年。</w:t>
            </w:r>
          </w:p>
        </w:tc>
        <w:tc>
          <w:tcPr>
            <w:tcW w:type="dxa" w:w="385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青禾向乙支付 600 万元（25 万元注册资本 + 575 万元溢价）。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关键人物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周砚：甲 60% 股东、法定代表人、董事长；甲法务陆岑；甲董秘许禾；岚序提名董事唐沐；独立董事苏芮。</w:t>
            </w:r>
          </w:p>
        </w:tc>
        <w:tc>
          <w:tcPr>
            <w:tcW w:type="dxa" w:w="385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周砚：乙 55% 股东、法定代表人、董事长；林澈：技术合伙人/董事；顾惟：砾原提名董事；青禾提名沈岚；独立董事方既白；乙法务邵棠；乙董秘罗青；乙财务闻启。</w:t>
            </w:r>
          </w:p>
        </w:tc>
      </w:tr>
    </w:tbl>
    <w:p>
      <w:pPr>
        <w:pStyle w:val="Heading1"/>
      </w:pPr>
      <w:r>
        <w:t>三、统一时间线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日期</w:t>
            </w:r>
          </w:p>
        </w:tc>
        <w:tc>
          <w:tcPr>
            <w:tcW w:type="dxa" w:w="328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甲公司</w:t>
            </w:r>
          </w:p>
        </w:tc>
        <w:tc>
          <w:tcPr>
            <w:tcW w:type="dxa" w:w="328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乙公司</w:t>
            </w:r>
          </w:p>
        </w:tc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共同/交割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2026-08-25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送达董事会通知（A-BM-2026-01-N）；会议 9/1，7 日前。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送达董事会通知（B-BM-2026-01-N）；会议 9/1，7 日前。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示例章程规定董事会通知期 7 日；不是公司法统一强制通知期。</w:t>
            </w:r>
          </w:p>
        </w:tc>
      </w:tr>
      <w:tr>
        <w:trPr>
          <w:cantSplit w:val="true"/>
        </w:trPr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2026-09-01</w:t>
            </w:r>
          </w:p>
        </w:tc>
        <w:tc>
          <w:tcPr>
            <w:tcW w:type="dxa" w:w="328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董事会 A-BM-2026-01：关联交易提案；无关联董事 2 人&lt;3，提交股东会；召集股东会。</w:t>
            </w:r>
          </w:p>
        </w:tc>
        <w:tc>
          <w:tcPr>
            <w:tcW w:type="dxa" w:w="328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董事会 B-BM-2026-01：增资/修章/优先认缴/董事选任/关联交易；召集股东会。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当日分别送达股东会通知（会议 9/21，20 日前，≥15 日）。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2026-09-21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股东会 A-SM-2026-01：许可、关联交易、章程修订、授权；100% 通过。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股东会 B-SM-2026-01：增资 600/25/575、修章、优先认缴放弃、董事选任、授权；100% 通过。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青禾尚未成为乙股东，不参加乙股东会；沈岚/方既白选任自 9/25 生效。</w:t>
            </w:r>
          </w:p>
        </w:tc>
      </w:tr>
      <w:tr>
        <w:trPr>
          <w:cantSplit w:val="true"/>
        </w:trPr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2026-09-22</w:t>
            </w:r>
          </w:p>
        </w:tc>
        <w:tc>
          <w:tcPr>
            <w:tcW w:type="dxa" w:w="328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 A-AUTH-01 范围内签署甲—乙许可合同 v1.0。</w:t>
            </w:r>
          </w:p>
        </w:tc>
        <w:tc>
          <w:tcPr>
            <w:tcW w:type="dxa" w:w="328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 B-AUTH-01 范围内签署增资协议、SHA、加入协议、章程固定版。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固定签署版本；两份合同分别签署，甲不是乙 SHA 当事人。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2026-09-24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核验甲股东会/岚序同意、客户同意/数据切割、脱敏记录。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核验乙股东会、优先认缴放弃、董事任职文件、增资账户、D&amp;O 保险。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客户同意不可豁免→剔除客户数据；D&amp;O 保险可豁免→青禾书面豁免。</w:t>
            </w:r>
          </w:p>
        </w:tc>
      </w:tr>
      <w:tr>
        <w:trPr>
          <w:cantSplit w:val="true"/>
        </w:trPr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2026-09-25</w:t>
            </w:r>
          </w:p>
        </w:tc>
        <w:tc>
          <w:tcPr>
            <w:tcW w:type="dxa" w:w="328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许可合同已生效；许可费付款在交割后 30 日内（计划 10/22）。</w:t>
            </w:r>
          </w:p>
        </w:tc>
        <w:tc>
          <w:tcPr>
            <w:tcW w:type="dxa" w:w="328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青禾支付 600 万元；乙更新股东名册/出资证明；沈岚/方既白任职生效；首次董事会 B-BM-2026-02。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模拟付款交割；核对 600=25+575；青禾 20%。</w:t>
            </w:r>
          </w:p>
        </w:tc>
      </w:tr>
      <w:tr>
        <w:trPr>
          <w:cantSplit w:val="true"/>
        </w:trPr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交割后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合同台账、付款跟踪、年度审计。</w:t>
            </w:r>
          </w:p>
        </w:tc>
        <w:tc>
          <w:tcPr>
            <w:tcW w:type="dxa" w:w="328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工商变更/备案、出资信息公示、税务、治理台账。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按适用期限办理；计划日期不是完成日期。</w:t>
            </w:r>
          </w:p>
        </w:tc>
      </w:tr>
    </w:tbl>
    <w:p>
      <w:pPr>
        <w:pStyle w:val="Heading1"/>
      </w:pPr>
      <w:r>
        <w:t>四、甲公司：资料能不能许可，关联交易怎么批</w:t>
      </w:r>
    </w:p>
    <w:p>
      <w:pPr>
        <w:pStyle w:val="Heading2"/>
      </w:pPr>
      <w:r>
        <w:t>（一）资料权属与许可边界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甲公司持有校准资料，不等于可以无条件把资料交给乙。先做四层核查：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资料是谁的：甲自行形成的校准参数、设备数据、说明文档，还是客户提供/委托形成的数据；员工职务作品、外包开发、第三方数据库是否有权属约定。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资料里有什么：是否含客户名单、个人信息、第三方保密信息、源代码、原始测试数据；如有，先做数据映射、脱敏和权限切割。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客户合同是否限制：甲与客户的合同是否要求向第三方提供数据前取得书面同意；如有，不能由甲/乙/青禾“豁免”，只能取得同意或剔除该部分数据。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许可还是转让：许可只授予使用权，不转移所有权；乙不得转许可、不得转让、不得超范围复制，不得把资料用于训练对外模型或向关联方提供。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本案设定：甲保留资料所有权；许可期限 3 年，许可费 60 万元/年，非独占、不可转许可、不可转让；许可范围限于脱敏后的校准参数和说明文档，不含客户名单、原始测试数据、源代码；甲有权每年审计一次乙的使用范围。</w:t>
      </w:r>
    </w:p>
    <w:p>
      <w:pPr>
        <w:pStyle w:val="Heading2"/>
      </w:pPr>
      <w:r>
        <w:t>（二）关联交易决策：董事会为什么不能最终批准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周砚既是甲的共同创始人、法定代表人、董事长，又控制乙，甲—乙许可构成关联交易。按《公司法》第 182 条，周砚应向甲董事会报告，并按章程经董事会或股东会决议。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甲董事会有 3 人：周砚、唐沐、苏芮。周砚为关联董事，回避后只剩唐沐、苏芮 2 名无关联董事，不足 3 人。按《公司法》第 185 条，董事会应将该事项提交股东会审议。因此，2026-09-01 甲董事会只能形成“提交股东会”的议案，不能代替股东会作最终批准。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甲股东会 2026-09-21 由周砚（60%）和岚序（40%）表决，100% 通过。这里有两个容易错的点：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周砚作为股东，并不因第 185 条的董事回避规则而当然回避。第 185 条针对董事会；股东会是否回避，要看具体事项和章程/SHA。本案甲章程/SHA 没有约定该事项股东回避，所以周砚可以表决，但应披露关联关系。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岚序的同意是 SHA 第 7.2 条的合同同意，不是公司机关决议。未取得同意，不当然使股东会决议无效，但甲/周砚可能违反 SHA，乙的交割条件也不满足。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本案的处理：甲董事会 9/1 只作提案；9/21 股东会审议；岚序同日出具 A-CONSENT-01；下一次章程修订把同意权写入第 8.3 条，减少“章程没写、SHA 有”的错位。</w:t>
      </w:r>
    </w:p>
    <w:p>
      <w:pPr>
        <w:pStyle w:val="Heading2"/>
      </w:pPr>
      <w:r>
        <w:t>（三）甲投资人原有权利是否受影响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岚序的 40% 股权、董事提名权、SHA 项下同意权和信息权仍然留在甲，不因乙融资而转移、稀释或“平移”到乙。具体来说：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乙增资只改变乙的注册资本和股权结构，不改变甲的股权结构；岚序仍持有甲 40%。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岚序不是乙股东，不能依《公司法》第 57 条查阅乙的会计账簿（乙不是甲的全资子公司），也不能依甲 SHA 要求乙提供资料。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乙的 SHA 只约束乙、周砚、林澈、砾原、青禾；岚序不是当事人，不取得乙 SHA 项下权利。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如果甲、乙需要跨主体资料，应另行签署《资料提供与保密协议》，明确清单、用途、期限、脱敏和访问权限；不能把“共同创始人”当作依据。</w:t>
      </w:r>
    </w:p>
    <w:p>
      <w:pPr>
        <w:pStyle w:val="Heading2"/>
      </w:pPr>
      <w:r>
        <w:t>（四）定价及履行证据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许可费 60 万元/年，采用可比第三方报价、成本加成和乙预计使用量三者结合确定。甲应保留：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204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证据</w:t>
            </w:r>
          </w:p>
        </w:tc>
        <w:tc>
          <w:tcPr>
            <w:tcW w:type="dxa" w:w="430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内容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责任人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时间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定价说明</w:t>
            </w:r>
          </w:p>
        </w:tc>
        <w:tc>
          <w:tcPr>
            <w:tcW w:type="dxa" w:w="430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可比报价、成本构成、使用量假设、审批记录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甲财务/甲法务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 前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董事会/股东会决议</w:t>
            </w:r>
          </w:p>
        </w:tc>
        <w:tc>
          <w:tcPr>
            <w:tcW w:type="dxa" w:w="430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A-BM-2026-01、A-SM-2026-01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甲董秘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2026-09-01/09-21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岚序同意函</w:t>
            </w:r>
          </w:p>
        </w:tc>
        <w:tc>
          <w:tcPr>
            <w:tcW w:type="dxa" w:w="430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A-CONSENT-01；SHA 第 7.2 条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甲法务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许可合同及附件</w:t>
            </w:r>
          </w:p>
        </w:tc>
        <w:tc>
          <w:tcPr>
            <w:tcW w:type="dxa" w:w="430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A-CON-01；附件一 v1.0；数据清单/版本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双方法务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2026-09-22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脱敏记录</w:t>
            </w:r>
          </w:p>
        </w:tc>
        <w:tc>
          <w:tcPr>
            <w:tcW w:type="dxa" w:w="430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A-MASK-01；规则、抽样、审批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甲技术/法务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2026-09-24</w:t>
            </w:r>
          </w:p>
        </w:tc>
      </w:tr>
      <w:tr>
        <w:trPr>
          <w:cantSplit w:val="true"/>
        </w:trPr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交付/付款</w:t>
            </w:r>
          </w:p>
        </w:tc>
        <w:tc>
          <w:tcPr>
            <w:tcW w:type="dxa" w:w="430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交付清单、发票、PAY-A-001 回单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甲财务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2026-10-22（计划）</w:t>
            </w:r>
          </w:p>
        </w:tc>
      </w:tr>
      <w:tr>
        <w:trPr>
          <w:cantSplit w:val="true"/>
        </w:trPr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审计记录</w:t>
            </w:r>
          </w:p>
        </w:tc>
        <w:tc>
          <w:tcPr>
            <w:tcW w:type="dxa" w:w="430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每年一次使用范围审计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甲法务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2027-09-22 起</w:t>
            </w:r>
          </w:p>
        </w:tc>
      </w:tr>
    </w:tbl>
    <w:p>
      <w:pPr>
        <w:pStyle w:val="Heading1"/>
      </w:pPr>
      <w:r>
        <w:t>五、乙公司：增资、修章、优先认缴和治理权</w:t>
      </w:r>
    </w:p>
    <w:p>
      <w:pPr>
        <w:pStyle w:val="Heading2"/>
      </w:pPr>
      <w:r>
        <w:t>（一）增资及修章如何批准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乙股东会 2026-09-21 由现有股东周砚（55%）、林澈（25%）、砾原（20%，委派代表顾惟出席）出席，100% 表决权同意增资和章程修订。增资、修改章程属于特别决议事项，需代表三分之二以上表决权的股东通过（《公司法》第 66 条），本案 100% 满足。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青禾在 2026-09-21 还不是股东，不参加该次股东会；其权利来自随后签署的增资协议/SHA，并在交割后取得股东资格。2026-09-22 在 B-AUTH-01 范围内签署增资协议、SHA、加入协议和章程固定版；2026-09-25 青禾足额付款后，乙更新股东名册、签发出资证明，青禾取得 20% 股权。工商变更登记完成前，相关事项不得对抗善意相对人（《公司法》第 34 条）。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这里不要把“签约”与“取得股东资格”混为一谈：签约产生合同权利；股东资格以出资、股东名册记载等事实为基础；登记是对抗要件，不是唯一生效要件。具体以增资协议、章程和登记实践为准。</w:t>
      </w:r>
    </w:p>
    <w:p>
      <w:pPr>
        <w:pStyle w:val="Heading2"/>
      </w:pPr>
      <w:r>
        <w:t>（二）原股东优先认缴如何处理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有限责任公司增资时，股东在同等条件下有权按实缴出资比例优先认缴，但全体股东约定不按比例优先认缴的除外（《公司法》第 227 条）。本案 25 万元新增注册资本全部由青禾认缴，周砚、林澈、砾原分别出具书面放弃/同意函，明确放弃按 55:25:20 比例优先认缴，并同意青禾以 600 万元认缴 25 万元注册资本（575 万元计入资本公积）。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三份放弃函在 2026-09-21 股东会前签署，作为股东会决议附件；不能用“股东会多数通过”代替三名原股东的放弃意思。青禾不是原股东，不参与优先认缴放弃；其认购权来自增资协议和股东会决议。本案例假设乙原 SHA 未赋予砾原对本次增资的否决权；砾原已书面同意新 SHA 生效后原 SHA 终止。新 SHA 由乙、周砚、林澈、砾原、青禾签署；甲不是当事人。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393"/>
        <w:gridCol w:w="1393"/>
        <w:gridCol w:w="1393"/>
        <w:gridCol w:w="1393"/>
        <w:gridCol w:w="1393"/>
        <w:gridCol w:w="1393"/>
        <w:gridCol w:w="1393"/>
      </w:tblGrid>
      <w:tr>
        <w:trPr>
          <w:tblHeader w:val="true"/>
          <w:cantSplit w:val="true"/>
        </w:trPr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股东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融资前注册资本（万元）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融资前比例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新增注册资本（万元）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融资后注册资本（万元）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融资后比例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优先认缴安排</w:t>
            </w:r>
          </w:p>
        </w:tc>
      </w:tr>
      <w:tr>
        <w:trPr>
          <w:cantSplit w:val="true"/>
        </w:trPr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周砚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55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55%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0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55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44%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书面放弃（委派代表顾惟签署），同意青禾认缴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林澈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25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25%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0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25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20%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书面放弃（委派代表顾惟签署），同意青禾认缴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砾原</w:t>
            </w:r>
            <w:r>
              <w:rPr>
                <w:rFonts w:ascii="微软雅黑" w:hAnsi="微软雅黑" w:eastAsia="微软雅黑"/>
                <w:b/>
                <w:i w:val="0"/>
                <w:sz w:val="16"/>
              </w:rPr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20%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0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16%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书面放弃（委派代表顾惟签署），同意青禾认缴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青禾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0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0%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25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25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20%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以 600 万元认购（25 万注册资本 + 575 万溢价）</w:t>
            </w:r>
          </w:p>
        </w:tc>
      </w:tr>
      <w:tr>
        <w:trPr>
          <w:cantSplit w:val="true"/>
        </w:trPr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合计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100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100%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25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125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100%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—</w:t>
            </w:r>
          </w:p>
        </w:tc>
      </w:tr>
    </w:tbl>
    <w:p>
      <w:pPr>
        <w:pStyle w:val="Heading2"/>
      </w:pPr>
      <w:r>
        <w:t>（三）资料使用安排是否满足融资条件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青禾把“甲—乙许可合同已签署且客户同意/数据范围切割完成”列为交割先决条件。2026-09-24 核验时发现：甲的最大客户合同要求向第三方共享数据前取得客户书面同意，甲尚未取得。该项属于第三方合同权利，交易双方不能以“豁免”代替。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处理方式：修改许可合同附件一，排除该客户数据；甲董事会/岚序书面确认（A-CONSENT-02）；乙书面接受。修改后条件满足，2026-09-25 交割。若不能切割，则交割应暂缓，不能勾选“已豁免”。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这个分支说明：交割条件要区分三类——（1）可由交易方书面豁免的商业条件（如 D&amp;O 保险起保日）；（2）必须取得的第三方同意（如客户同意）；（3）法定程序（如减资、债权人保护、登记）。第（2）（3）类不能由甲/乙/青禾用“豁免”替代。</w:t>
      </w:r>
    </w:p>
    <w:p>
      <w:pPr>
        <w:pStyle w:val="Heading2"/>
      </w:pPr>
      <w:r>
        <w:t>（四）新投资人何时取得约定治理权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青禾的董事提名权在 SHA 签署后成立，但沈岚的董事职务须经乙股东会选任并自 2026-09-25 交割条件成就时生效；在此之前，沈岚只能以观察员身份列席，不计入董事人数、不参与表决。2026-09-25 交割后，乙董事会有 5 名董事，沈岚可以参加首次董事会并投票。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青禾的同意权、信息权按 SHA 约定，自交割日起生效；不能用“签约日”提前行使。乙在 2026-09-21 的股东会决议中明确：沈岚、方既白自 2026-09-25 生效；这是“选任 + 附生效条件”的安排。会议记录、任职文件、股东名册和首次董事会签到要能对应这个日期。</w:t>
      </w:r>
    </w:p>
    <w:p>
      <w:pPr>
        <w:pStyle w:val="Heading1"/>
      </w:pPr>
      <w:r>
        <w:t>六、双方：谁签合同、谁收付款、谁承担违约责任</w:t>
      </w:r>
    </w:p>
    <w:p>
      <w:pPr>
        <w:pStyle w:val="Heading2"/>
      </w:pPr>
      <w:r>
        <w:t>（一）合同相对性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25"/>
        <w:gridCol w:w="1625"/>
        <w:gridCol w:w="1625"/>
        <w:gridCol w:w="1625"/>
        <w:gridCol w:w="1625"/>
        <w:gridCol w:w="1625"/>
      </w:tblGrid>
      <w:tr>
        <w:trPr>
          <w:tblHeader w:val="true"/>
          <w:cantSplit w:val="true"/>
        </w:trPr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合同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签署方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甲</w:t>
            </w:r>
          </w:p>
        </w:tc>
        <w:tc>
          <w:tcPr>
            <w:tcW w:type="dxa" w:w="158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乙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青禾</w:t>
            </w:r>
          </w:p>
        </w:tc>
        <w:tc>
          <w:tcPr>
            <w:tcW w:type="dxa" w:w="13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岚序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校准资料使用许可合同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甲、乙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许可方/收款方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被许可方/付款方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增资协议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乙、青禾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公司/收款方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投资人/付款方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股东协议（乙）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乙、周砚、林澈、砾原、青禾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  <w:tc>
          <w:tcPr>
            <w:tcW w:type="dxa" w:w="158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公司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投资人</w:t>
            </w:r>
          </w:p>
        </w:tc>
        <w:tc>
          <w:tcPr>
            <w:tcW w:type="dxa" w:w="13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股东协议（甲）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甲、周砚、岚序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公司</w:t>
            </w:r>
          </w:p>
        </w:tc>
        <w:tc>
          <w:tcPr>
            <w:tcW w:type="dxa" w:w="158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不是当事人</w:t>
            </w:r>
          </w:p>
        </w:tc>
        <w:tc>
          <w:tcPr>
            <w:tcW w:type="dxa" w:w="13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投资人</w:t>
            </w:r>
          </w:p>
        </w:tc>
      </w:tr>
    </w:tbl>
    <w:p>
      <w:pPr>
        <w:pStyle w:val="Heading2"/>
      </w:pPr>
      <w:r>
        <w:t>（二）收付款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25"/>
        <w:gridCol w:w="1625"/>
        <w:gridCol w:w="1625"/>
        <w:gridCol w:w="1625"/>
        <w:gridCol w:w="1625"/>
        <w:gridCol w:w="1625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付款方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收款方</w:t>
            </w:r>
          </w:p>
        </w:tc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款项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金额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时间</w:t>
            </w:r>
          </w:p>
        </w:tc>
        <w:tc>
          <w:tcPr>
            <w:tcW w:type="dxa" w:w="317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说明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青禾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增资款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600 万元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2026-09-25</w:t>
            </w:r>
          </w:p>
        </w:tc>
        <w:tc>
          <w:tcPr>
            <w:tcW w:type="dxa" w:w="317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其中 25 万元注册资本、575 万元溢价；不得由创始人个人收取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乙公司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许可费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60 万元/年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2026-10-22（计划）</w:t>
            </w:r>
          </w:p>
        </w:tc>
        <w:tc>
          <w:tcPr>
            <w:tcW w:type="dxa" w:w="317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交割后 30 日内；不是注册资本；不是交割先决条件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甲公司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无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—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—</w:t>
            </w:r>
          </w:p>
        </w:tc>
        <w:tc>
          <w:tcPr>
            <w:tcW w:type="dxa" w:w="317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甲不向乙支付增资款/许可费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岚序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无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—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—</w:t>
            </w:r>
          </w:p>
        </w:tc>
        <w:tc>
          <w:tcPr>
            <w:tcW w:type="dxa" w:w="317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岚序不是乙股东，不参与乙增资</w:t>
            </w:r>
          </w:p>
        </w:tc>
      </w:tr>
    </w:tbl>
    <w:p>
      <w:pPr>
        <w:pStyle w:val="Heading2"/>
      </w:pPr>
      <w:r>
        <w:t>（三）违约责任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甲—乙许可合同：谁违反许可范围、付款、保密、审计、数据保护义务，按该合同向对方承担责任；甲不能依乙 SHA 向青禾主张，青禾也不能依乙 SHA 向甲主张。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乙—青禾增资协议/SHA：谁违反增资、陈述保证、交割、治理、回购义务，按该协议向对方承担责任；甲不是当事人，不承担乙 SHA 项下义务。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周砚个人：如签署创始人回购条款，其个人义务与乙公司义务分开；青禾不能因为周砚是乙创始人/股东就要求乙公司承担连带责任，除非乙公司另行担保且程序合法。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交叉违约：除非合同明确约定，甲—乙许可合同与乙—青禾增资协议不互相构成违约；不能把一份合同的违约自动当成另一份合同的违约。</w:t>
      </w:r>
    </w:p>
    <w:p>
      <w:pPr>
        <w:pStyle w:val="Heading2"/>
      </w:pPr>
      <w:r>
        <w:t>（四）股权/权利不自动平移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甲股东不因乙融资自动取得乙股权或乙的 SHA 权利；乙投资人也不因投资乙而取得甲的资料所有权或甲股东权利。除非另有书面安排：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甲、乙无交叉持股，不是母子公司；不存在“乙融资自动稀释甲股东”或“甲股东自动成为乙股东”的效果。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岚序的 40% 甲股权、甲董事席位、甲 SHA 同意权/信息权，仍只在甲层面；青禾的 20% 乙股权、乙董事席位、乙 SHA 权利，只在乙层面。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共同创始人周砚的双重身份不产生“权利平移”；他在甲、乙分别承担的义务，要分别看两份 SHA、两份章程和各自的决议。</w:t>
      </w:r>
    </w:p>
    <w:p>
      <w:pPr>
        <w:pStyle w:val="Heading1"/>
      </w:pPr>
      <w:r>
        <w:t>七、退出分支：同样的触发事实，两种回购</w:t>
      </w:r>
    </w:p>
    <w:p>
      <w:pPr>
        <w:pStyle w:val="Heading2"/>
      </w:pPr>
      <w:r>
        <w:t>（一）触发事实与价款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假设同一触发事实：乙未能在 2028-12-31 前完成合格上市，且 2028 年度经审计营业收入低于 8,000 万元。2029-01-29 青禾发出回购通知，30 日补救期后进入回购。回购价款按 600 万元本金 + 8% 单利、实际持有 887 天计算，示例为 716.65 万元（600 + 116.65；实际以协议公式和付款日为准）。</w:t>
      </w:r>
    </w:p>
    <w:p>
      <w:pPr>
        <w:pStyle w:val="Heading2"/>
      </w:pPr>
      <w:r>
        <w:t>（二）分支 A：乙公司承担回购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步骤</w:t>
            </w:r>
          </w:p>
        </w:tc>
        <w:tc>
          <w:tcPr>
            <w:tcW w:type="dxa" w:w="396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动作</w:t>
            </w:r>
          </w:p>
        </w:tc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依据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时间/期限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常见障碍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1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青禾发回购通知，证明触发事实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 SHA 第 9.1 条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2029-01-29</w:t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触发事实/审计口径争议</w:t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乙董事会提出减资/回购方案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章程；《公司法》第 67 条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2029-03-01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董事会意见分歧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3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乙股东会 2/3 以上通过减资/回购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《公司法》第 66 条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2029-03-05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表决权不足；关联股东是否回避未按章程处理</w:t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4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编制资产负债表及财产清单；10 日内通知债权人，30 日内公告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《公司法》第 224 条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2029-03-15/2029-04-04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债权人要求清偿/担保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5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在债权人保护完成、具备合法支付能力后付款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《公司法》第 53、210、211 条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按决议</w:t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无利润/现金流不足；抽逃出资风险</w:t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6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如适用第 89 条，6 个月内转让/注销；减资路径按第 224 条及登记要求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《公司法》第 89、224 条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2029-09-05 前</w:t>
            </w:r>
            <w:r>
              <w:rPr>
                <w:rFonts w:ascii="微软雅黑" w:hAnsi="微软雅黑" w:eastAsia="微软雅黑"/>
                <w:b w:val="0"/>
                <w:i w:val="0"/>
                <w:sz w:val="16"/>
              </w:rPr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逾期未处理；登记材料不齐</w:t>
            </w:r>
          </w:p>
        </w:tc>
      </w:tr>
    </w:tbl>
    <w:p>
      <w:pPr>
        <w:pStyle w:val="Heading2"/>
      </w:pPr>
      <w:r>
        <w:t>（三）分支 B：创始人周砚个人承担回购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  <w:cantSplit w:val="true"/>
        </w:trPr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步骤</w:t>
            </w:r>
          </w:p>
        </w:tc>
        <w:tc>
          <w:tcPr>
            <w:tcW w:type="dxa" w:w="396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动作</w:t>
            </w:r>
          </w:p>
        </w:tc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依据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时间/期限</w:t>
            </w:r>
          </w:p>
        </w:tc>
        <w:tc>
          <w:tcPr>
            <w:tcW w:type="dxa" w:w="238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常见障碍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1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青禾向周砚发回购通知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乙 SHA 第 9.2 条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2029-01-29</w:t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通知主体/地址/送达争议</w:t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2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周砚以个人资金支付 716.65 万元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SHA；民法典合同规则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通知后 30 日</w:t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个人支付能力；资金合法来源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3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签署股权转让协议；核对章程对股东之间转让的限制（如无，不适用对外转让优先购买权）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《公司法》第 84 条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60 日内</w:t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章程限制/同意要求</w:t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4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更新股东名册、出资证明、章程记载；登记/备案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《公司法》第 86—87 条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按当地要求</w:t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股权质押/冻结；登记材料</w:t>
            </w:r>
          </w:p>
        </w:tc>
      </w:tr>
      <w:tr>
        <w:trPr>
          <w:cantSplit w:val="true"/>
        </w:trPr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5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税务申报（如涉及）</w:t>
            </w:r>
          </w:p>
        </w:tc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税法及当地口径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按税务要求</w:t>
            </w:r>
          </w:p>
        </w:tc>
        <w:tc>
          <w:tcPr>
            <w:tcW w:type="dxa" w:w="238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税基/税率/申报口径</w:t>
            </w:r>
          </w:p>
        </w:tc>
      </w:tr>
      <w:tr>
        <w:trPr>
          <w:cantSplit w:val="true"/>
        </w:trPr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6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如乙公司担保，另行股东会决议</w:t>
            </w:r>
          </w:p>
        </w:tc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《公司法》第 15 条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担保前</w:t>
            </w:r>
          </w:p>
        </w:tc>
        <w:tc>
          <w:tcPr>
            <w:tcW w:type="dxa" w:w="238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周砚或受其支配的股东回避；担保额度</w:t>
            </w:r>
          </w:p>
        </w:tc>
      </w:tr>
    </w:tbl>
    <w:p>
      <w:pPr>
        <w:pStyle w:val="Heading2"/>
      </w:pPr>
      <w:r>
        <w:t>（四）两种回购对比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51"/>
        <w:gridCol w:w="3251"/>
        <w:gridCol w:w="3251"/>
      </w:tblGrid>
      <w:tr>
        <w:trPr>
          <w:tblHeader w:val="true"/>
          <w:cantSplit w:val="true"/>
        </w:trPr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维度</w:t>
            </w:r>
          </w:p>
        </w:tc>
        <w:tc>
          <w:tcPr>
            <w:tcW w:type="dxa" w:w="3969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乙公司回购</w:t>
            </w:r>
          </w:p>
        </w:tc>
        <w:tc>
          <w:tcPr>
            <w:tcW w:type="dxa" w:w="36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周砚个人回购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义务人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</w:t>
            </w:r>
          </w:p>
        </w:tc>
        <w:tc>
          <w:tcPr>
            <w:tcW w:type="dxa" w:w="36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是否减资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通常需要</w:t>
            </w:r>
          </w:p>
        </w:tc>
        <w:tc>
          <w:tcPr>
            <w:tcW w:type="dxa" w:w="36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不需要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债权人保护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需要通知/公告</w:t>
            </w:r>
          </w:p>
        </w:tc>
        <w:tc>
          <w:tcPr>
            <w:tcW w:type="dxa" w:w="36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不适用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资金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公司合法资金</w:t>
            </w:r>
          </w:p>
        </w:tc>
        <w:tc>
          <w:tcPr>
            <w:tcW w:type="dxa" w:w="36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个人合法资金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股权处理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公司注销/转让</w:t>
            </w:r>
          </w:p>
        </w:tc>
        <w:tc>
          <w:tcPr>
            <w:tcW w:type="dxa" w:w="36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周砚受让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公司责任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公司自身</w:t>
            </w:r>
          </w:p>
        </w:tc>
        <w:tc>
          <w:tcPr>
            <w:tcW w:type="dxa" w:w="36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公司原则上不连带；担保另议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主要风险</w:t>
            </w:r>
          </w:p>
        </w:tc>
        <w:tc>
          <w:tcPr>
            <w:tcW w:type="dxa" w:w="3969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无利润、债权人异议、程序未完成</w:t>
            </w:r>
          </w:p>
        </w:tc>
        <w:tc>
          <w:tcPr>
            <w:tcW w:type="dxa" w:w="36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个人无支付能力、章程转让限制、税务</w:t>
            </w:r>
          </w:p>
        </w:tc>
      </w:tr>
      <w:tr>
        <w:trPr>
          <w:cantSplit w:val="true"/>
        </w:trPr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结论</w:t>
            </w:r>
          </w:p>
        </w:tc>
        <w:tc>
          <w:tcPr>
            <w:tcW w:type="dxa" w:w="3969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约定有效≠现在能履行；未完成减资可能不支持实际履行</w:t>
            </w:r>
          </w:p>
        </w:tc>
        <w:tc>
          <w:tcPr>
            <w:tcW w:type="dxa" w:w="36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个人义务独立；不能自动要求公司付款</w:t>
            </w:r>
          </w:p>
        </w:tc>
      </w:tr>
    </w:tbl>
    <w:p>
      <w:pPr>
        <w:pStyle w:val="Heading1"/>
      </w:pPr>
      <w:r>
        <w:t>八、失败分支与补救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19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分支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后果</w:t>
            </w:r>
          </w:p>
        </w:tc>
        <w:tc>
          <w:tcPr>
            <w:tcW w:type="dxa" w:w="306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补救动作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不能做什么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通知遗漏一名股东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被遗漏股东可自知道/应当知道决议之日起 60 日内请求撤销，最长 1 年；决议并非当然无效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停止交割；补发完整通知/材料；取得书面放弃/追认或重新开会；保留送达证据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只靠“80% 已通过”继续交割</w:t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议案版本临时变化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股东未在合理期限前看到实质变化，决议可能被撤销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撤回新版本；保留原议案；重新提前 15 日通知；全体股东一致同意缩短/免除通知的，留下书面文件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在会上直接替换实质条款并表决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投资人董事提前投票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沈岚在 2026-09-01 还不是董事，其票不计入；若决议依赖其票数，可能不成立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会议记录注明观察员身份、不计票；剔除其表决重新计票；票数不足则待 9/25 后重新开会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把观察员写成董事、把其票计入</w:t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无关联董事不足三人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甲、乙董事会均只有 2 名无关联董事，不能由董事会最终批准关联交易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董事会只作提案，提交股东会；股东会是否回避按章程/SHA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用董事会决议代替股东会；把董事回避推广为股东回避</w:t>
            </w:r>
          </w:p>
        </w:tc>
      </w:tr>
      <w:tr>
        <w:trPr>
          <w:cantSplit w:val="true"/>
        </w:trPr>
        <w:tc>
          <w:tcPr>
            <w:tcW w:type="dxa" w:w="19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交割条件未满足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可能是阻断项，也可能是可豁免商业条件</w:t>
            </w:r>
          </w:p>
        </w:tc>
        <w:tc>
          <w:tcPr>
            <w:tcW w:type="dxa" w:w="306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先判断是否涉及第三方权利/法定程序；不可豁免的修合同/缩范围/暂缓；可豁免的由有权方书面豁免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用“已豁免”替代客户同意、法定决议或债权人保护</w:t>
            </w:r>
          </w:p>
        </w:tc>
      </w:tr>
      <w:tr>
        <w:trPr>
          <w:cantSplit w:val="true"/>
        </w:trPr>
        <w:tc>
          <w:tcPr>
            <w:tcW w:type="dxa" w:w="19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6"/>
              </w:rPr>
              <w:t>未完成减资即要求公司回购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公司实际履行可能受阻；法院可能不支持实际履行</w:t>
            </w:r>
          </w:p>
        </w:tc>
        <w:tc>
          <w:tcPr>
            <w:tcW w:type="dxa" w:w="306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先完成减资/债权人保护；或比较创始人回购、第三方受让、延期、利润补偿</w:t>
            </w:r>
          </w:p>
        </w:tc>
        <w:tc>
          <w:tcPr>
            <w:tcW w:type="dxa" w:w="181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6"/>
              </w:rPr>
              <w:t>把“合同有效”当成“马上付款”</w:t>
            </w:r>
          </w:p>
        </w:tc>
      </w:tr>
    </w:tbl>
    <w:p>
      <w:pPr>
        <w:pStyle w:val="Heading1"/>
      </w:pPr>
      <w:r>
        <w:t>九、文件对应表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38"/>
        <w:gridCol w:w="2438"/>
        <w:gridCol w:w="2438"/>
        <w:gridCol w:w="2438"/>
      </w:tblGrid>
      <w:tr>
        <w:trPr>
          <w:tblHeader w:val="true"/>
          <w:cantSplit w:val="true"/>
        </w:trPr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判断/动作</w:t>
            </w:r>
          </w:p>
        </w:tc>
        <w:tc>
          <w:tcPr>
            <w:tcW w:type="dxa" w:w="204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案例位置</w:t>
            </w:r>
          </w:p>
        </w:tc>
        <w:tc>
          <w:tcPr>
            <w:tcW w:type="dxa" w:w="28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对应附件</w:t>
            </w:r>
          </w:p>
        </w:tc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关键字段/证据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章程与 SHA 同意权冲突</w:t>
            </w:r>
          </w:p>
        </w:tc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四（二）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核查表示例 1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章程条款、SHA 版本、签署方、结论、整改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公司回购</w:t>
            </w:r>
          </w:p>
        </w:tc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七（二）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核查表示例 2；交割清单退出分支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决议、减资、债权人通知、付款、注销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创始人回购</w:t>
            </w:r>
          </w:p>
        </w:tc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七（三）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核查表示例 3；交割清单退出分支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通知、价格、个人资金、股权过户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双主体信息权</w:t>
            </w:r>
          </w:p>
        </w:tc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四（三）/六（四）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核查表示例 4；Data Room 索引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主体代码、资料清单、保密、同意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会议通知/议案/决议/授权</w:t>
            </w:r>
          </w:p>
        </w:tc>
        <w:tc>
          <w:tcPr>
            <w:tcW w:type="dxa" w:w="204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三</w:t>
            </w:r>
          </w:p>
        </w:tc>
        <w:tc>
          <w:tcPr>
            <w:tcW w:type="dxa" w:w="28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会议文件包 A/B 套</w:t>
            </w:r>
          </w:p>
        </w:tc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日期、编号、签到、表决、授权范围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交割条件/付款/登记</w:t>
            </w:r>
          </w:p>
        </w:tc>
        <w:tc>
          <w:tcPr>
            <w:tcW w:type="dxa" w:w="204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三/五（三）</w:t>
            </w:r>
          </w:p>
        </w:tc>
        <w:tc>
          <w:tcPr>
            <w:tcW w:type="dxa" w:w="28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交割清单</w:t>
            </w:r>
          </w:p>
        </w:tc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主体、阶段、阻断、豁免、证据</w:t>
            </w:r>
          </w:p>
        </w:tc>
      </w:tr>
    </w:tbl>
    <w:p>
      <w:pPr>
        <w:pStyle w:val="Heading1"/>
      </w:pPr>
      <w:r>
        <w:t>十、反事实分支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如果甲把资料所有权转让给乙，而不是许可：需要资产/知识产权转让协议、客户合同同意、员工/职务作品安排、税务和登记评估；不能把“许可”写成“转让”，也不能默认客户合同随资料自动转移。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如果甲、乙是母子公司：甲股东对全资子公司的信息权可按《公司法》第 57 条延伸；但非全资子公司、兄弟公司仍不能自动延伸。关联交易、合并报表和国资/外资规则也要另查。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如果乙未完成减资就要求公司回购：公司实际履行可能受阻；应比较创始人回购、第三方受让、延期或利润补偿等替代方案，不能把“合同有效”当成“马上付款”。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如果甲投资人未出具同意：甲股东会决议在章程层面可能仍有效，但甲可能违反 SHA；乙的交割条件不满足，应补同意、调整交易或暂缓交割，不能伪造/倒签同意函。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如果沈岚在任职前参加董事会并投票：其票不计入；应更正会议记录、重新计票，必要时重新开会，不能把观察员写成董事。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如果全体股东用书面一致决定代替会议：要满足全体股东签名/盖章，且只适用于股东会；不能与会议签到/表决票混写，也不能用于董事会。</w:t>
      </w:r>
    </w:p>
    <w:p>
      <w:pPr>
        <w:pStyle w:val="Heading1"/>
      </w:pPr>
      <w:r>
        <w:t>十一、主要依据与版本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51"/>
        <w:gridCol w:w="3251"/>
        <w:gridCol w:w="3251"/>
      </w:tblGrid>
      <w:tr>
        <w:trPr>
          <w:tblHeader w:val="true"/>
          <w:cantSplit w:val="true"/>
        </w:trPr>
        <w:tc>
          <w:tcPr>
            <w:tcW w:type="dxa" w:w="4876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依据</w:t>
            </w:r>
          </w:p>
        </w:tc>
        <w:tc>
          <w:tcPr>
            <w:tcW w:type="dxa" w:w="351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本案例用途</w:t>
            </w:r>
          </w:p>
        </w:tc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核对日期</w:t>
            </w:r>
          </w:p>
        </w:tc>
      </w:tr>
      <w:tr>
        <w:trPr>
          <w:cantSplit w:val="true"/>
        </w:trPr>
        <w:tc>
          <w:tcPr>
            <w:tcW w:type="dxa" w:w="4876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《公司法》第 5、25—28、34、40、57、59、62—66、67—73、84—89、180—185、210—212、224—228、236 条</w:t>
            </w:r>
          </w:p>
        </w:tc>
        <w:tc>
          <w:tcPr>
            <w:tcW w:type="dxa" w:w="351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决议、会议、关联交易、增资、回购、减资、分配、信息权、清算</w:t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876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《民法典》第 61、85、143、153、161—172、465、502、504、509 条</w:t>
            </w:r>
          </w:p>
        </w:tc>
        <w:tc>
          <w:tcPr>
            <w:tcW w:type="dxa" w:w="351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代表/代理、合同效力、越权、履行</w:t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876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《公司法》时间效力规定（法释〔2024〕7 号）第 1—8 条</w:t>
            </w:r>
          </w:p>
        </w:tc>
        <w:tc>
          <w:tcPr>
            <w:tcW w:type="dxa" w:w="351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历史协议/行为的法律适用</w:t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876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《九民纪要》第 5 条及印发通知</w:t>
            </w:r>
          </w:p>
        </w:tc>
        <w:tc>
          <w:tcPr>
            <w:tcW w:type="dxa" w:w="351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目标公司回购的效力与履行区分；纪要不是司法解释</w:t>
            </w:r>
          </w:p>
        </w:tc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876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《国务院关于实施〈公司法〉注册资本登记管理制度的规定》（国务院令第 784 号）第 2—4 条；《公司登记管理实施办法》（市场监管总局令第 95 号）第 5—11 条</w:t>
            </w:r>
          </w:p>
        </w:tc>
        <w:tc>
          <w:tcPr>
            <w:tcW w:type="dxa" w:w="351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出资期限、增资缴足、信息公示</w:t>
            </w:r>
          </w:p>
        </w:tc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51"/>
        <w:gridCol w:w="3251"/>
        <w:gridCol w:w="3251"/>
      </w:tblGrid>
      <w:tr>
        <w:trPr>
          <w:tblHeader w:val="true"/>
          <w:cantSplit w:val="true"/>
        </w:trPr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版本</w:t>
            </w:r>
          </w:p>
        </w:tc>
        <w:tc>
          <w:tcPr>
            <w:tcW w:type="dxa" w:w="181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  <w:tc>
          <w:tcPr>
            <w:tcW w:type="dxa" w:w="635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变更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</w:t>
            </w:r>
          </w:p>
        </w:tc>
        <w:tc>
          <w:tcPr>
            <w:tcW w:type="dxa" w:w="181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  <w:tc>
          <w:tcPr>
            <w:tcW w:type="dxa" w:w="63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首版：独立虚构双主体事实、统一时间线、甲/乙分别分析、双方关系、公司/创始人回购分支、失败分支、文件对应表和反事实分支。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提示：本案例为教学示例，不构成法律意见；不对应任何真实公司、交易或个人。正式项目应重新核对事实、文件版本、适用法律和当地登记/税务口径。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077" w:bottom="1077" w:left="1077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i w:val="0"/>
        <w:color w:val="808080"/>
        <w:sz w:val="16"/>
      </w:rPr>
      <w:t xml:space="preserve">法务OPC · 融资治理工具   第 </w:t>
    </w:r>
    <w:r>
      <w:rPr>
        <w:rFonts w:ascii="微软雅黑" w:hAnsi="微软雅黑" w:eastAsia="微软雅黑"/>
        <w:b w:val="0"/>
        <w:i w:val="0"/>
        <w:color w:val="808080"/>
        <w:sz w:val="16"/>
      </w:rPr>
      <w:fldChar w:fldCharType="begin"/>
      <w:instrText xml:space="preserve">PAGE</w:instrText>
      <w:fldChar w:fldCharType="end"/>
    </w:r>
    <w:r>
      <w:rPr>
        <w:rFonts w:ascii="微软雅黑" w:hAnsi="微软雅黑" w:eastAsia="微软雅黑"/>
        <w:b w:val="0"/>
        <w:i w:val="0"/>
        <w:color w:val="808080"/>
        <w:sz w:val="16"/>
      </w:rPr>
      <w:t xml:space="preserve"> 页 / 共 </w:t>
    </w:r>
    <w:r>
      <w:rPr>
        <w:rFonts w:ascii="微软雅黑" w:hAnsi="微软雅黑" w:eastAsia="微软雅黑"/>
        <w:b w:val="0"/>
        <w:i w:val="0"/>
        <w:color w:val="808080"/>
        <w:sz w:val="16"/>
      </w:rPr>
      <w:fldChar w:fldCharType="begin"/>
      <w:instrText xml:space="preserve">NUMPAGES</w:instrText>
      <w:fldChar w:fldCharType="end"/>
    </w:r>
    <w:r>
      <w:rPr>
        <w:rFonts w:ascii="微软雅黑" w:hAnsi="微软雅黑" w:eastAsia="微软雅黑"/>
        <w:b w:val="0"/>
        <w:i w:val="0"/>
        <w:color w:val="808080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b w:val="0"/>
        <w:i w:val="0"/>
        <w:color w:val="808080"/>
        <w:sz w:val="16"/>
      </w:rPr>
      <w:t>法务OPC ｜ 独立虚构双主体案例 v0.1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7" w:lineRule="auto" w:after="8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2E5C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独立虚构双主体案例 v0.1</dc:title>
  <dc:subject>融资治理、章程/SHA、公司回购、创始人回购、双主体信息权</dc:subject>
  <dc:creator/>
  <cp:keywords>虚构案例, 融资治理, 双主体, 回购, 关联交易</cp:keywords>
  <dc:description>模拟模板，不构成法律意见。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