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微软雅黑" w:hAnsi="微软雅黑" w:eastAsia="微软雅黑"/>
          <w:b/>
          <w:color w:val="1F4E79"/>
          <w:sz w:val="40"/>
        </w:rPr>
        <w:t>知识产权权属与商业秘密 SOP</w:t>
      </w:r>
    </w:p>
    <w:p>
      <w:pPr>
        <w:spacing w:before="0" w:after="200"/>
        <w:pBdr>
          <w:bottom w:val="single" w:sz="8" w:space="4" w:color="2E75B6"/>
        </w:pBdr>
      </w:pPr>
      <w:r>
        <w:rPr>
          <w:rFonts w:ascii="微软雅黑" w:hAnsi="微软雅黑" w:eastAsia="微软雅黑"/>
          <w:color w:val="595959"/>
          <w:sz w:val="18"/>
        </w:rPr>
        <w:t>入职 / 在职 / 离职 ｜ 模板 v0.1 ｜ 法务OPC M06</w:t>
      </w:r>
    </w:p>
    <w:p>
      <w:pPr>
        <w:spacing w:before="0"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space="0" w:color="2E75B6"/>
          <w:left w:val="single" w:sz="8" w:space="0" w:color="2E75B6"/>
          <w:bottom w:val="single" w:sz="8" w:space="0" w:color="2E75B6"/>
          <w:right w:val="single" w:sz="8" w:space="0" w:color="2E75B6"/>
          <w:insideH w:val="single" w:sz="8" w:space="0" w:color="2E75B6"/>
          <w:insideV w:val="single" w:sz="8" w:space="0" w:color="2E75B6"/>
        </w:tblBorders>
        <w:tblLayout w:type="fixed"/>
      </w:tblPr>
      <w:tblGrid>
        <w:gridCol w:w="9638"/>
      </w:tblGrid>
      <w:tr>
        <w:trPr>
          <w:cantSplit w:val="true"/>
        </w:trPr>
        <w:tc>
          <w:tcPr>
            <w:tcW w:type="dxa" w:w="9638"/>
            <w:shd w:val="clear" w:color="auto" w:fill="D9E2F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适用：研发、产品、设计、市场、HR、IT 与法务。目标：在申请、公开、离职三个节点，先把权属和保密关系定清楚，再谈专利、商标、软著和域名。</w:t>
            </w:r>
            <w:r>
              <w:br/>
            </w:r>
            <w:r>
              <w:rPr>
                <w:rFonts w:ascii="宋体" w:hAnsi="宋体" w:eastAsia="宋体"/>
                <w:b w:val="0"/>
                <w:sz w:val="19"/>
              </w:rPr>
              <w:t>本 SOP 是操作模板，不构成对特定员工、特定交易的法律意见；涉及具体争议时，应结合合同、证据和当地规则另行判断。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三条原则</w:t>
      </w:r>
    </w:p>
    <w:p>
      <w:pPr>
        <w:spacing w:before="0" w:after="40" w:line="300" w:lineRule="auto"/>
        <w:ind w:left="312" w:hanging="198"/>
      </w:pPr>
      <w:r>
        <w:rPr>
          <w:rFonts w:ascii="宋体" w:hAnsi="宋体" w:eastAsia="宋体"/>
          <w:sz w:val="20"/>
        </w:rPr>
        <w:t>• 先定权属，再申请 / 登记：没有权属确认，申请得越快，后续争议越大。</w:t>
      </w:r>
    </w:p>
    <w:p>
      <w:pPr>
        <w:spacing w:before="0" w:after="40" w:line="300" w:lineRule="auto"/>
        <w:ind w:left="312" w:hanging="198"/>
      </w:pPr>
      <w:r>
        <w:rPr>
          <w:rFonts w:ascii="宋体" w:hAnsi="宋体" w:eastAsia="宋体"/>
          <w:sz w:val="20"/>
        </w:rPr>
        <w:t>• 保密优先，公开前先检查：公开一次可能永久丧失新颖性；先申请或先审批。</w:t>
      </w:r>
    </w:p>
    <w:p>
      <w:pPr>
        <w:spacing w:before="0" w:after="40" w:line="300" w:lineRule="auto"/>
        <w:ind w:left="312" w:hanging="198"/>
      </w:pPr>
      <w:r>
        <w:rPr>
          <w:rFonts w:ascii="宋体" w:hAnsi="宋体" w:eastAsia="宋体"/>
          <w:sz w:val="20"/>
        </w:rPr>
        <w:t>• 竞业限制不默认全员签署：只对法定人员逐人评估；不启动就不签，启动就按月付补偿。</w:t>
      </w: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一、角色与触发时点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041"/>
        <w:gridCol w:w="4762"/>
        <w:gridCol w:w="2835"/>
      </w:tblGrid>
      <w:tr>
        <w:trPr>
          <w:tblHeader w:val="true"/>
          <w:cantSplit w:val="true"/>
        </w:trPr>
        <w:tc>
          <w:tcPr>
            <w:tcW w:type="dxa" w:w="204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角色</w:t>
            </w:r>
          </w:p>
        </w:tc>
        <w:tc>
          <w:tcPr>
            <w:tcW w:type="dxa" w:w="4762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职责</w:t>
            </w:r>
          </w:p>
        </w:tc>
        <w:tc>
          <w:tcPr>
            <w:tcW w:type="dxa" w:w="2835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触发时点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员工 / 发明人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如实交底、披露发明、配合权属确认、离职交接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项目立项、产出形成、离职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研发 / 产品负责人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确认技术产出、公开计划、交接清单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版本发布、对外演示、离职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HR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入职签署、离职流程、竞业评估发起、补偿支付协同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入职、离职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IT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账号、设备、代码库、云资源回收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入职、离职、权限变更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法务 / IPR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权属核查、申请 / 登记、台账、竞业协议与争议处理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全流程</w:t>
            </w:r>
          </w:p>
        </w:tc>
      </w:tr>
      <w:tr>
        <w:trPr>
          <w:cantSplit w:val="true"/>
        </w:trPr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财务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奖励报酬、竞业补偿支付与凭证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授权、离职后</w:t>
            </w:r>
          </w:p>
        </w:tc>
      </w:tr>
    </w:tbl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二、权属 SOP</w:t>
      </w: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A1 入职：把边界写在前面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4989"/>
        <w:gridCol w:w="1814"/>
        <w:gridCol w:w="2835"/>
      </w:tblGrid>
      <w:tr>
        <w:trPr>
          <w:tblHeader w:val="true"/>
          <w:cantSplit w:val="true"/>
        </w:trPr>
        <w:tc>
          <w:tcPr>
            <w:tcW w:type="dxa" w:w="4989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动作</w:t>
            </w:r>
          </w:p>
        </w:tc>
        <w:tc>
          <w:tcPr>
            <w:tcW w:type="dxa" w:w="181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负责</w:t>
            </w:r>
          </w:p>
        </w:tc>
        <w:tc>
          <w:tcPr>
            <w:tcW w:type="dxa" w:w="2835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留痕</w:t>
            </w:r>
          </w:p>
        </w:tc>
      </w:tr>
      <w:tr>
        <w:trPr>
          <w:cantSplit w:val="true"/>
        </w:trPr>
        <w:tc>
          <w:tcPr>
            <w:tcW w:type="dxa" w:w="498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劳动合同或附件写明：职务成果归属、保密义务、知识产权条款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+ 法务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劳动合同 / 附件</w:t>
            </w:r>
          </w:p>
        </w:tc>
      </w:tr>
      <w:tr>
        <w:trPr>
          <w:cantSplit w:val="true"/>
        </w:trPr>
        <w:tc>
          <w:tcPr>
            <w:tcW w:type="dxa" w:w="498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签署保密协议（NDA），明确保密信息范围与期限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+ 法务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签署页</w:t>
            </w:r>
          </w:p>
        </w:tc>
      </w:tr>
      <w:tr>
        <w:trPr>
          <w:cantSplit w:val="true"/>
        </w:trPr>
        <w:tc>
          <w:tcPr>
            <w:tcW w:type="dxa" w:w="498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填写《入职前成果清单》，区分个人既有成果与公司项目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员工 + 法务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清单 / 确认书</w:t>
            </w:r>
          </w:p>
        </w:tc>
      </w:tr>
      <w:tr>
        <w:trPr>
          <w:cantSplit w:val="true"/>
        </w:trPr>
        <w:tc>
          <w:tcPr>
            <w:tcW w:type="dxa" w:w="498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确认公司账号、设备、代码库、云资源的使用规则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IT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账号开通记录</w:t>
            </w:r>
          </w:p>
        </w:tc>
      </w:tr>
      <w:tr>
        <w:trPr>
          <w:cantSplit w:val="true"/>
        </w:trPr>
        <w:tc>
          <w:tcPr>
            <w:tcW w:type="dxa" w:w="498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对核心岗位做竞业限制适用性评估（不是默认签）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+ 法务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评估表（见 Part C）</w:t>
            </w:r>
          </w:p>
        </w:tc>
      </w:tr>
    </w:tbl>
    <w:p>
      <w:pPr>
        <w:spacing w:before="0"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space="0" w:color="BF9000"/>
          <w:left w:val="single" w:sz="8" w:space="0" w:color="BF9000"/>
          <w:bottom w:val="single" w:sz="8" w:space="0" w:color="BF9000"/>
          <w:right w:val="single" w:sz="8" w:space="0" w:color="BF9000"/>
          <w:insideH w:val="single" w:sz="8" w:space="0" w:color="BF9000"/>
          <w:insideV w:val="single" w:sz="8" w:space="0" w:color="BF9000"/>
        </w:tblBorders>
        <w:tblLayout w:type="fixed"/>
      </w:tblPr>
      <w:tblGrid>
        <w:gridCol w:w="9638"/>
      </w:tblGrid>
      <w:tr>
        <w:trPr>
          <w:cantSplit w:val="true"/>
        </w:trPr>
        <w:tc>
          <w:tcPr>
            <w:tcW w:type="dxa" w:w="9638"/>
            <w:shd w:val="clear" w:color="auto" w:fill="FFF2C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不要让员工在入职当天“一揽子”签一份范围过宽的竞业协议。先判断岗位是否属于高级管理人员、高级技术人员或其他负有保密义务的人员；不属于的，用 NDA + 保密 + 权限控制，不签竞业。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A2 在职：每个产出都问三句话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928"/>
        <w:gridCol w:w="5443"/>
        <w:gridCol w:w="2268"/>
      </w:tblGrid>
      <w:tr>
        <w:trPr>
          <w:tblHeader w:val="true"/>
          <w:cantSplit w:val="true"/>
        </w:trPr>
        <w:tc>
          <w:tcPr>
            <w:tcW w:type="dxa" w:w="1928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场景</w:t>
            </w:r>
          </w:p>
        </w:tc>
        <w:tc>
          <w:tcPr>
            <w:tcW w:type="dxa" w:w="5443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动作</w:t>
            </w:r>
          </w:p>
        </w:tc>
        <w:tc>
          <w:tcPr>
            <w:tcW w:type="dxa" w:w="2268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时限 / 留痕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新项目立项</w:t>
            </w:r>
          </w:p>
        </w:tc>
        <w:tc>
          <w:tcPr>
            <w:tcW w:type="dxa" w:w="54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核查参与人员、外包、合作、开源组件；明确背景 IP 与新产生成果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立项表 / 权属核查表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员工提出发明</w:t>
            </w:r>
          </w:p>
        </w:tc>
        <w:tc>
          <w:tcPr>
            <w:tcW w:type="dxa" w:w="54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填写技术交底表；确认是否职务发明、是否已公开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5 个工作日内；交底表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委托 / 外包</w:t>
            </w:r>
          </w:p>
        </w:tc>
        <w:tc>
          <w:tcPr>
            <w:tcW w:type="dxa" w:w="54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合同写明成果归属、交付物、背景 IP、保密、署名与验收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签约前；合同评审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合作开发</w:t>
            </w:r>
          </w:p>
        </w:tc>
        <w:tc>
          <w:tcPr>
            <w:tcW w:type="dxa" w:w="54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约定申请权 / 著作权、费用、收益、实施与退出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签约前；合作协议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开源</w:t>
            </w:r>
          </w:p>
        </w:tc>
        <w:tc>
          <w:tcPr>
            <w:tcW w:type="dxa" w:w="54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按 M02 开源审批流程评估许可证义务与公开时点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发布前；审批单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商标 / 品牌</w:t>
            </w:r>
          </w:p>
        </w:tc>
        <w:tc>
          <w:tcPr>
            <w:tcW w:type="dxa" w:w="54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检索 + 申请 + 域名注册；先申请再发布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发布前；台账</w:t>
            </w:r>
          </w:p>
        </w:tc>
      </w:tr>
      <w:tr>
        <w:trPr>
          <w:cantSplit w:val="true"/>
        </w:trPr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软件</w:t>
            </w:r>
          </w:p>
        </w:tc>
        <w:tc>
          <w:tcPr>
            <w:tcW w:type="dxa" w:w="54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版本存档、权属确认、登记（登记证是初步证明）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发布前后尽快；台账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A3 委托 / 合作 / 外包合同检查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814"/>
        <w:gridCol w:w="5102"/>
        <w:gridCol w:w="2721"/>
      </w:tblGrid>
      <w:tr>
        <w:trPr>
          <w:tblHeader w:val="true"/>
          <w:cantSplit w:val="true"/>
        </w:trPr>
        <w:tc>
          <w:tcPr>
            <w:tcW w:type="dxa" w:w="181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条款</w:t>
            </w:r>
          </w:p>
        </w:tc>
        <w:tc>
          <w:tcPr>
            <w:tcW w:type="dxa" w:w="5102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必须写清</w:t>
            </w:r>
          </w:p>
        </w:tc>
        <w:tc>
          <w:tcPr>
            <w:tcW w:type="dxa" w:w="272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常见坑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成果归属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专利申请权、著作权、软件著作权归公司，或公司享有独占许可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只写“共同合作”，没写归属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背景 IP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对方既有技术、工具、库、数据的许可范围与限制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把对方背景 IP 当成公司资产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交付物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源代码、文档、数据、模型、设计源文件、测试报告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只交付可执行文件，无法维护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人员转让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对方保证其员工、外包人员已签署权属转让与保密协议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层层外包，权利链断裂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保密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保密信息范围、期限、违约、返还 / 销毁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没有违约条款，泄露后难追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署名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职务作品 / 委托作品的署名方式与修改边界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把“署名权”当成可以随意买断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验收与违约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交付标准、权属瑕疵担保、违约赔偿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验收只看功能，不看权属文件</w:t>
            </w:r>
          </w:p>
        </w:tc>
      </w:tr>
      <w:tr>
        <w:trPr>
          <w:cantSplit w:val="true"/>
        </w:trPr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开源</w:t>
            </w:r>
          </w:p>
        </w:tc>
        <w:tc>
          <w:tcPr>
            <w:tcW w:type="dxa" w:w="51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不得引入未审批的开源组件；遵守许可证义务</w:t>
            </w:r>
          </w:p>
        </w:tc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交付物里混入 GPL / AGPL 代码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A4 离职：人走，权利和秘密留下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587"/>
        <w:gridCol w:w="1814"/>
        <w:gridCol w:w="4422"/>
        <w:gridCol w:w="1814"/>
      </w:tblGrid>
      <w:tr>
        <w:trPr>
          <w:tblHeader w:val="true"/>
          <w:cantSplit w:val="true"/>
        </w:trPr>
        <w:tc>
          <w:tcPr>
            <w:tcW w:type="dxa" w:w="1587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节点</w:t>
            </w:r>
          </w:p>
        </w:tc>
        <w:tc>
          <w:tcPr>
            <w:tcW w:type="dxa" w:w="181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负责</w:t>
            </w:r>
          </w:p>
        </w:tc>
        <w:tc>
          <w:tcPr>
            <w:tcW w:type="dxa" w:w="4422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动作</w:t>
            </w:r>
          </w:p>
        </w:tc>
        <w:tc>
          <w:tcPr>
            <w:tcW w:type="dxa" w:w="181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留痕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离职申请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通知研发负责人 / 法务；核心岗位提前启动交接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离职单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工作交接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研发负责人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代码、文档、实验、客户信息、供应商联系人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交接清单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设备 / 账号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IT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回收设备；撤销仓库、云、邮箱、VPN、数据库权限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回收 / 撤销记录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权属确认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确认在职期间的发明、作品、软件、改进方案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权属确认书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保密提醒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 / HR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保密义务持续；不得带走、使用、披露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签收页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竞业评估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 + HR + 业务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按 Part C 逐人评估；不默认启动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评估表 / 协议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奖励报酬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/ 财务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按制度 / 协议结算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支付记录</w:t>
            </w:r>
          </w:p>
        </w:tc>
      </w:tr>
      <w:tr>
        <w:trPr>
          <w:cantSplit w:val="true"/>
        </w:trPr>
        <w:tc>
          <w:tcPr>
            <w:tcW w:type="dxa" w:w="1587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台账更新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</w:t>
            </w:r>
          </w:p>
        </w:tc>
        <w:tc>
          <w:tcPr>
            <w:tcW w:type="dxa" w:w="442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更新权利人、经办人、状态、下次节点</w:t>
            </w:r>
          </w:p>
        </w:tc>
        <w:tc>
          <w:tcPr>
            <w:tcW w:type="dxa" w:w="181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台账</w:t>
            </w:r>
          </w:p>
        </w:tc>
      </w:tr>
    </w:tbl>
    <w:p>
      <w:r>
        <w:br w:type="page"/>
      </w: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三、商业秘密 SOP</w:t>
      </w: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B1 识别与分级：先知道保护什么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361"/>
        <w:gridCol w:w="4649"/>
        <w:gridCol w:w="1928"/>
        <w:gridCol w:w="1701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级别</w:t>
            </w:r>
          </w:p>
        </w:tc>
        <w:tc>
          <w:tcPr>
            <w:tcW w:type="dxa" w:w="4649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典型信息</w:t>
            </w:r>
          </w:p>
        </w:tc>
        <w:tc>
          <w:tcPr>
            <w:tcW w:type="dxa" w:w="1928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访问范围</w:t>
            </w:r>
          </w:p>
        </w:tc>
        <w:tc>
          <w:tcPr>
            <w:tcW w:type="dxa" w:w="170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标记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核心</w:t>
            </w:r>
          </w:p>
        </w:tc>
        <w:tc>
          <w:tcPr>
            <w:tcW w:type="dxa" w:w="464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源代码、模型参数、配方、核心算法、未公开路线图</w:t>
            </w:r>
          </w:p>
        </w:tc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名单制，最小必要</w:t>
            </w:r>
          </w:p>
        </w:tc>
        <w:tc>
          <w:tcPr>
            <w:tcW w:type="dxa" w:w="170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“核心秘密”水印 / 密级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重要</w:t>
            </w:r>
          </w:p>
        </w:tc>
        <w:tc>
          <w:tcPr>
            <w:tcW w:type="dxa" w:w="464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客户名单、报价、合同、测试数据、供应商信息</w:t>
            </w:r>
          </w:p>
        </w:tc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项目组</w:t>
            </w:r>
          </w:p>
        </w:tc>
        <w:tc>
          <w:tcPr>
            <w:tcW w:type="dxa" w:w="170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“重要”标记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一般</w:t>
            </w:r>
          </w:p>
        </w:tc>
        <w:tc>
          <w:tcPr>
            <w:tcW w:type="dxa" w:w="464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内部流程、会议纪要、一般经营信息</w:t>
            </w:r>
          </w:p>
        </w:tc>
        <w:tc>
          <w:tcPr>
            <w:tcW w:type="dxa" w:w="19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部门</w:t>
            </w:r>
          </w:p>
        </w:tc>
        <w:tc>
          <w:tcPr>
            <w:tcW w:type="dxa" w:w="170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“内部”标记</w:t>
            </w:r>
          </w:p>
        </w:tc>
      </w:tr>
    </w:tbl>
    <w:p>
      <w:pPr>
        <w:spacing w:before="0" w:after="80" w:line="312" w:lineRule="auto"/>
      </w:pPr>
      <w:r>
        <w:rPr>
          <w:rFonts w:ascii="宋体" w:hAnsi="宋体" w:eastAsia="宋体"/>
          <w:b w:val="0"/>
          <w:color w:val="404040"/>
          <w:sz w:val="18"/>
        </w:rPr>
        <w:t>不是所有信息都要标“秘密”。但主张商业秘密时，必须能证明对该信息采取了“相应保密措施”；分级、标记、权限、审批、培训都是证据。</w:t>
      </w: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B2 三道闸：入职、在职、离职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361"/>
        <w:gridCol w:w="6009"/>
        <w:gridCol w:w="2268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阶段</w:t>
            </w:r>
          </w:p>
        </w:tc>
        <w:tc>
          <w:tcPr>
            <w:tcW w:type="dxa" w:w="6009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动作</w:t>
            </w:r>
          </w:p>
        </w:tc>
        <w:tc>
          <w:tcPr>
            <w:tcW w:type="dxa" w:w="2268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留痕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入职</w:t>
            </w:r>
          </w:p>
        </w:tc>
        <w:tc>
          <w:tcPr>
            <w:tcW w:type="dxa" w:w="600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NDA + 保密培训 + 权限申请；告知保密范围与后果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签署页 / 培训记录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在职</w:t>
            </w:r>
          </w:p>
        </w:tc>
        <w:tc>
          <w:tcPr>
            <w:tcW w:type="dxa" w:w="600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最小必要权限；外发审批；加密 / 水印；第三方 NDA；访客管理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审批单 / 日志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离职</w:t>
            </w:r>
          </w:p>
        </w:tc>
        <w:tc>
          <w:tcPr>
            <w:tcW w:type="dxa" w:w="600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权限回收；设备归还；资料删除确认；离职面谈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checklist / 签收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B3 对外提供 / 外发审批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494"/>
        <w:gridCol w:w="714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7143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通过标准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对方是谁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已做主体核验；有保密协议或合同保密条款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用途与范围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只为特定目的、特定项目；不提供超出必要范围的数据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是否脱敏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去除客户名、个人信息、价格、源代码注释中的敏感信息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是否可逆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能识别到个人 / 客户的信息，评估是否可去标识化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期限与回收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明确使用期限、返还 / 销毁义务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审批人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业务负责人 + 法务；核心秘密需更高层级批准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B4 泄露 / 疑似泄露事件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361"/>
        <w:gridCol w:w="6236"/>
        <w:gridCol w:w="2041"/>
      </w:tblGrid>
      <w:tr>
        <w:trPr>
          <w:tblHeader w:val="true"/>
          <w:cantSplit w:val="true"/>
        </w:trPr>
        <w:tc>
          <w:tcPr>
            <w:tcW w:type="dxa" w:w="136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步骤</w:t>
            </w:r>
          </w:p>
        </w:tc>
        <w:tc>
          <w:tcPr>
            <w:tcW w:type="dxa" w:w="6236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动作</w:t>
            </w:r>
          </w:p>
        </w:tc>
        <w:tc>
          <w:tcPr>
            <w:tcW w:type="dxa" w:w="204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负责人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1 发现</w:t>
            </w:r>
          </w:p>
        </w:tc>
        <w:tc>
          <w:tcPr>
            <w:tcW w:type="dxa" w:w="623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记录时间、渠道、涉及信息、已知接收方</w:t>
            </w:r>
          </w:p>
        </w:tc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发现人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2 制止</w:t>
            </w:r>
          </w:p>
        </w:tc>
        <w:tc>
          <w:tcPr>
            <w:tcW w:type="dxa" w:w="623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冻结账号、撤回邮件 / 链接、要求对方删除</w:t>
            </w:r>
          </w:p>
        </w:tc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IT + 业务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3 保全</w:t>
            </w:r>
          </w:p>
        </w:tc>
        <w:tc>
          <w:tcPr>
            <w:tcW w:type="dxa" w:w="623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保存日志、邮件、聊天记录、下载记录；不要自行删改</w:t>
            </w:r>
          </w:p>
        </w:tc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IT + 法务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4 评估</w:t>
            </w:r>
          </w:p>
        </w:tc>
        <w:tc>
          <w:tcPr>
            <w:tcW w:type="dxa" w:w="623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秘密性、价值、保密措施、泄露范围、损失</w:t>
            </w:r>
          </w:p>
        </w:tc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5 处置</w:t>
            </w:r>
          </w:p>
        </w:tc>
        <w:tc>
          <w:tcPr>
            <w:tcW w:type="dxa" w:w="623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发函、协商、报案 / 诉讼；必要时通知客户</w:t>
            </w:r>
          </w:p>
        </w:tc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 + 管理层</w:t>
            </w:r>
          </w:p>
        </w:tc>
      </w:tr>
      <w:tr>
        <w:trPr>
          <w:cantSplit w:val="true"/>
        </w:trPr>
        <w:tc>
          <w:tcPr>
            <w:tcW w:type="dxa" w:w="136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6 复盘</w:t>
            </w:r>
          </w:p>
        </w:tc>
        <w:tc>
          <w:tcPr>
            <w:tcW w:type="dxa" w:w="623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补权限、补培训、补合同；更新台账</w:t>
            </w:r>
          </w:p>
        </w:tc>
        <w:tc>
          <w:tcPr>
            <w:tcW w:type="dxa" w:w="204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 + HR + IT</w:t>
            </w:r>
          </w:p>
        </w:tc>
      </w:tr>
    </w:tbl>
    <w:p>
      <w:r>
        <w:br w:type="page"/>
      </w: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四、竞业限制启动评估（不默认全员）</w:t>
      </w:r>
    </w:p>
    <w:p>
      <w:pPr>
        <w:spacing w:before="0"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ayout w:type="fixed"/>
      </w:tblPr>
      <w:tblGrid>
        <w:gridCol w:w="9638"/>
      </w:tblGrid>
      <w:tr>
        <w:trPr>
          <w:cantSplit w:val="true"/>
        </w:trPr>
        <w:tc>
          <w:tcPr>
            <w:tcW w:type="dxa" w:w="9638"/>
            <w:shd w:val="clear" w:color="auto" w:fill="FCE4E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20"/>
              </w:rPr>
              <w:t>竞业限制不是全员默认措施。只对《劳动合同法》第 24 条规定的三类人员逐人评估：高级管理人员、高级技术人员、其他负有保密义务的人员。不启动就不签；启动就要按月支付补偿，期限不超过 2 年。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C1 适用人员：先过法定范围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721"/>
        <w:gridCol w:w="4762"/>
        <w:gridCol w:w="2154"/>
      </w:tblGrid>
      <w:tr>
        <w:trPr>
          <w:tblHeader w:val="true"/>
          <w:cantSplit w:val="true"/>
        </w:trPr>
        <w:tc>
          <w:tcPr>
            <w:tcW w:type="dxa" w:w="272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类型</w:t>
            </w:r>
          </w:p>
        </w:tc>
        <w:tc>
          <w:tcPr>
            <w:tcW w:type="dxa" w:w="4762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判断问题</w:t>
            </w:r>
          </w:p>
        </w:tc>
        <w:tc>
          <w:tcPr>
            <w:tcW w:type="dxa" w:w="215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结论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高级管理人员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是否参与经营决策、预算、人事、战略或核心业务管理？</w:t>
            </w:r>
          </w:p>
        </w:tc>
        <w:tc>
          <w:tcPr>
            <w:tcW w:type="dxa" w:w="215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可能适用；仍需必要性评估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高级技术人员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是否接触核心算法、架构、配方、关键数据或核心技术路线？</w:t>
            </w:r>
          </w:p>
        </w:tc>
        <w:tc>
          <w:tcPr>
            <w:tcW w:type="dxa" w:w="215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可能适用；仍需必要性评估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其他负有保密义务的人员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是否接触核心商业秘密，且现有保密措施能否覆盖？</w:t>
            </w:r>
          </w:p>
        </w:tc>
        <w:tc>
          <w:tcPr>
            <w:tcW w:type="dxa" w:w="215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可能适用；逐人判断</w:t>
            </w:r>
          </w:p>
        </w:tc>
      </w:tr>
      <w:tr>
        <w:trPr>
          <w:cantSplit w:val="true"/>
        </w:trPr>
        <w:tc>
          <w:tcPr>
            <w:tcW w:type="dxa" w:w="272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普通员工 / 实习生 / 外包</w:t>
            </w:r>
          </w:p>
        </w:tc>
        <w:tc>
          <w:tcPr>
            <w:tcW w:type="dxa" w:w="476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是否接触核心秘密？能否用 NDA + 权限控制替代？</w:t>
            </w:r>
          </w:p>
        </w:tc>
        <w:tc>
          <w:tcPr>
            <w:tcW w:type="dxa" w:w="215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一般不签竞业；用保密与权限措施</w:t>
            </w:r>
          </w:p>
        </w:tc>
      </w:tr>
    </w:tbl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C2 必要性评估：五问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5896"/>
        <w:gridCol w:w="3742"/>
      </w:tblGrid>
      <w:tr>
        <w:trPr>
          <w:tblHeader w:val="true"/>
          <w:cantSplit w:val="true"/>
        </w:trPr>
        <w:tc>
          <w:tcPr>
            <w:tcW w:type="dxa" w:w="5896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问题</w:t>
            </w:r>
          </w:p>
        </w:tc>
        <w:tc>
          <w:tcPr>
            <w:tcW w:type="dxa" w:w="3742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</w:t>
            </w:r>
          </w:p>
        </w:tc>
      </w:tr>
      <w:tr>
        <w:trPr>
          <w:cantSplit w:val="true"/>
          <w:trHeight w:val="765" w:hRule="atLeast"/>
        </w:trPr>
        <w:tc>
          <w:tcPr>
            <w:tcW w:type="dxa" w:w="58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1. 该员工接触哪一级秘密？离开后最可能带走什么？</w:t>
            </w:r>
          </w:p>
        </w:tc>
        <w:tc>
          <w:tcPr>
            <w:tcW w:type="dxa" w:w="374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765" w:hRule="atLeast"/>
        </w:trPr>
        <w:tc>
          <w:tcPr>
            <w:tcW w:type="dxa" w:w="58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2. 离职后去向是否明确存在竞争关系？</w:t>
            </w:r>
          </w:p>
        </w:tc>
        <w:tc>
          <w:tcPr>
            <w:tcW w:type="dxa" w:w="374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765" w:hRule="atLeast"/>
        </w:trPr>
        <w:tc>
          <w:tcPr>
            <w:tcW w:type="dxa" w:w="58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3. 该岗位是否难以替代，或短期内会直接影响竞争格局？</w:t>
            </w:r>
          </w:p>
        </w:tc>
        <w:tc>
          <w:tcPr>
            <w:tcW w:type="dxa" w:w="374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765" w:hRule="atLeast"/>
        </w:trPr>
        <w:tc>
          <w:tcPr>
            <w:tcW w:type="dxa" w:w="58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4. 补偿成本、期限、地域范围是否可接受？</w:t>
            </w:r>
          </w:p>
        </w:tc>
        <w:tc>
          <w:tcPr>
            <w:tcW w:type="dxa" w:w="374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765" w:hRule="atLeast"/>
        </w:trPr>
        <w:tc>
          <w:tcPr>
            <w:tcW w:type="dxa" w:w="58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5. 是否有替代措施（保密协议、权限回收、竞业禁止以外的约束）？</w:t>
            </w:r>
          </w:p>
        </w:tc>
        <w:tc>
          <w:tcPr>
            <w:tcW w:type="dxa" w:w="374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765" w:hRule="atLeast"/>
        </w:trPr>
        <w:tc>
          <w:tcPr>
            <w:tcW w:type="dxa" w:w="589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结论</w:t>
            </w:r>
          </w:p>
        </w:tc>
        <w:tc>
          <w:tcPr>
            <w:tcW w:type="dxa" w:w="374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不启动　□ 启动（范围 / 地域 / 期限：________）　□ 暂缓（条件：________）</w:t>
            </w:r>
          </w:p>
        </w:tc>
      </w:tr>
    </w:tbl>
    <w:p>
      <w:pPr>
        <w:spacing w:before="0" w:after="80" w:line="312" w:lineRule="auto"/>
      </w:pPr>
      <w:r>
        <w:rPr>
          <w:rFonts w:ascii="宋体" w:hAnsi="宋体" w:eastAsia="宋体"/>
          <w:b w:val="0"/>
          <w:color w:val="404040"/>
          <w:sz w:val="18"/>
        </w:rPr>
        <w:t>结论由法务、HR、业务负责人共同确认；不能由业务部门单独决定，也不能用“全员签”代替逐人评估。</w:t>
      </w:r>
    </w:p>
    <w:p>
      <w:r>
        <w:br w:type="page"/>
      </w: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C3 签署与履行检查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494"/>
        <w:gridCol w:w="7143"/>
      </w:tblGrid>
      <w:tr>
        <w:trPr>
          <w:tblHeader w:val="true"/>
          <w:cantSplit w:val="true"/>
        </w:trPr>
        <w:tc>
          <w:tcPr>
            <w:tcW w:type="dxa" w:w="249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检查项</w:t>
            </w:r>
          </w:p>
        </w:tc>
        <w:tc>
          <w:tcPr>
            <w:tcW w:type="dxa" w:w="7143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要求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协议形式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书面协议，明确范围、地域、期限、补偿标准、支付周期、违约金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期限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自劳动合同解除或终止之日起不超过 2 年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补偿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离职后按月支付；不抵扣工资、不包含在在职薪酬中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未约定补偿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劳动者履行竞业义务的，可按离职前 12 个月平均工资 30% 主张；低于最低工资的按最低工资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单位 3 个月未付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劳动者可请求解除竞业限制约定；建立支付台账，避免逾期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单位解除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单位可解除；劳动者可要求额外 3 个月补偿</w:t>
            </w:r>
          </w:p>
        </w:tc>
      </w:tr>
      <w:tr>
        <w:trPr>
          <w:cantSplit w:val="true"/>
        </w:trPr>
        <w:tc>
          <w:tcPr>
            <w:tcW w:type="dxa" w:w="249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到期 / 解除</w:t>
            </w:r>
          </w:p>
        </w:tc>
        <w:tc>
          <w:tcPr>
            <w:tcW w:type="dxa" w:w="714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出具书面确认；停止支付并留存记录</w:t>
            </w:r>
          </w:p>
        </w:tc>
      </w:tr>
    </w:tbl>
    <w:p>
      <w:pPr>
        <w:spacing w:before="0"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8" w:space="0" w:color="BF9000"/>
          <w:left w:val="single" w:sz="8" w:space="0" w:color="BF9000"/>
          <w:bottom w:val="single" w:sz="8" w:space="0" w:color="BF9000"/>
          <w:right w:val="single" w:sz="8" w:space="0" w:color="BF9000"/>
          <w:insideH w:val="single" w:sz="8" w:space="0" w:color="BF9000"/>
          <w:insideV w:val="single" w:sz="8" w:space="0" w:color="BF9000"/>
        </w:tblBorders>
        <w:tblLayout w:type="fixed"/>
      </w:tblPr>
      <w:tblGrid>
        <w:gridCol w:w="9638"/>
      </w:tblGrid>
      <w:tr>
        <w:trPr>
          <w:cantSplit w:val="true"/>
        </w:trPr>
        <w:tc>
          <w:tcPr>
            <w:tcW w:type="dxa" w:w="9638"/>
            <w:shd w:val="clear" w:color="auto" w:fill="FFF2CC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四个不要：不要全员签；不要超过 2 年；不要约定不付补偿；不要把补偿算进在职工资。范围、地域、业务领域要与实际秘密和竞争关系匹配，不能写成“全球、全行业、永久”。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五、留痕清单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3969"/>
        <w:gridCol w:w="3402"/>
        <w:gridCol w:w="2268"/>
      </w:tblGrid>
      <w:tr>
        <w:trPr>
          <w:tblHeader w:val="true"/>
          <w:cantSplit w:val="true"/>
        </w:trPr>
        <w:tc>
          <w:tcPr>
            <w:tcW w:type="dxa" w:w="3969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文件</w:t>
            </w:r>
          </w:p>
        </w:tc>
        <w:tc>
          <w:tcPr>
            <w:tcW w:type="dxa" w:w="3402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保存位置</w:t>
            </w:r>
          </w:p>
        </w:tc>
        <w:tc>
          <w:tcPr>
            <w:tcW w:type="dxa" w:w="2268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负责人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劳动合同 / NDA / 竞业协议</w:t>
            </w:r>
          </w:p>
        </w:tc>
        <w:tc>
          <w:tcPr>
            <w:tcW w:type="dxa" w:w="34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档案 + 法务备份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入职前成果清单</w:t>
            </w:r>
          </w:p>
        </w:tc>
        <w:tc>
          <w:tcPr>
            <w:tcW w:type="dxa" w:w="34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档案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技术交底表 / 权属确认书</w:t>
            </w:r>
          </w:p>
        </w:tc>
        <w:tc>
          <w:tcPr>
            <w:tcW w:type="dxa" w:w="34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IP 台账附件 / 法务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委托 / 合作 / 外包合同</w:t>
            </w:r>
          </w:p>
        </w:tc>
        <w:tc>
          <w:tcPr>
            <w:tcW w:type="dxa" w:w="34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合同台账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法务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离职交接 / 账号回收记录</w:t>
            </w:r>
          </w:p>
        </w:tc>
        <w:tc>
          <w:tcPr>
            <w:tcW w:type="dxa" w:w="34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/ IT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+ IT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竞业补偿支付记录</w:t>
            </w:r>
          </w:p>
        </w:tc>
        <w:tc>
          <w:tcPr>
            <w:tcW w:type="dxa" w:w="34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财务 + 法务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财务</w:t>
            </w:r>
          </w:p>
        </w:tc>
      </w:tr>
      <w:tr>
        <w:trPr>
          <w:cantSplit w:val="true"/>
        </w:trPr>
        <w:tc>
          <w:tcPr>
            <w:tcW w:type="dxa" w:w="3969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保密培训 / 提醒记录</w:t>
            </w:r>
          </w:p>
        </w:tc>
        <w:tc>
          <w:tcPr>
            <w:tcW w:type="dxa" w:w="340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 / 法务</w:t>
            </w:r>
          </w:p>
        </w:tc>
        <w:tc>
          <w:tcPr>
            <w:tcW w:type="dxa" w:w="226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HR</w:t>
            </w:r>
          </w:p>
        </w:tc>
      </w:tr>
    </w:tbl>
    <w:p>
      <w:pPr>
        <w:spacing w:before="0" w:after="80" w:line="312" w:lineRule="auto"/>
      </w:pPr>
      <w:r>
        <w:rPr>
          <w:rFonts w:ascii="宋体" w:hAnsi="宋体" w:eastAsia="宋体"/>
          <w:b w:val="0"/>
          <w:color w:val="808080"/>
          <w:sz w:val="17"/>
        </w:rPr>
        <w:t>保存期限按公司档案制度执行；涉及竞业限制的，至少覆盖劳动关系存续期间及竞业限制期满后的合理期间。此处为操作建议，不是统一法定年限。</w:t>
      </w:r>
    </w:p>
    <w:p>
      <w:r>
        <w:br w:type="page"/>
      </w: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附表：单员工竞业评估记录（每次复制一份）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3175"/>
        <w:gridCol w:w="6463"/>
      </w:tblGrid>
      <w:tr>
        <w:trPr>
          <w:tblHeader w:val="true"/>
          <w:cantSplit w:val="true"/>
        </w:trPr>
        <w:tc>
          <w:tcPr>
            <w:tcW w:type="dxa" w:w="3175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项目</w:t>
            </w:r>
          </w:p>
        </w:tc>
        <w:tc>
          <w:tcPr>
            <w:tcW w:type="dxa" w:w="6463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填写</w:t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员工 / 岗位 / 部门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离职日期 / 最后工作日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接触的秘密等级与内容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离职后去向 / 已知竞争关系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拟竞业范围 / 地域 / 期限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期限不超过 2 年：________</w:t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补偿标准 / 支付周期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按月支付：________</w:t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决定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□ 不启动（仅保密提醒）　□ 启动（协议编号：________）　□ 暂缓（条件：________）</w:t>
            </w:r>
          </w:p>
        </w:tc>
      </w:tr>
      <w:tr>
        <w:trPr>
          <w:cantSplit w:val="true"/>
          <w:trHeight w:val="624" w:hRule="atLeast"/>
        </w:trPr>
        <w:tc>
          <w:tcPr>
            <w:tcW w:type="dxa" w:w="317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法务 / HR / 业务签字</w:t>
            </w:r>
          </w:p>
        </w:tc>
        <w:tc>
          <w:tcPr>
            <w:tcW w:type="dxa" w:w="646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</w:r>
          </w:p>
        </w:tc>
      </w:tr>
    </w:tbl>
    <w:p>
      <w:pPr>
        <w:pStyle w:val="Heading1"/>
        <w:keepNext/>
        <w:spacing w:before="240" w:after="80"/>
      </w:pPr>
      <w:r>
        <w:rPr>
          <w:rFonts w:ascii="微软雅黑" w:hAnsi="微软雅黑" w:eastAsia="微软雅黑"/>
          <w:b/>
          <w:color w:val="1F4E79"/>
          <w:sz w:val="28"/>
        </w:rPr>
        <w:t>六、法源与版本</w:t>
      </w:r>
    </w:p>
    <w:p>
      <w:pPr>
        <w:spacing w:before="0" w:after="80" w:line="312" w:lineRule="auto"/>
      </w:pPr>
      <w:r>
        <w:rPr>
          <w:rFonts w:ascii="宋体" w:hAnsi="宋体" w:eastAsia="宋体"/>
          <w:b w:val="0"/>
          <w:sz w:val="19"/>
        </w:rPr>
        <w:t>本 SOP 的关键规则来自下列现行文本；完整链接、条款号和核对日期见 M06 正文「法源核对记录」。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2948"/>
        <w:gridCol w:w="2835"/>
        <w:gridCol w:w="3855"/>
      </w:tblGrid>
      <w:tr>
        <w:trPr>
          <w:tblHeader w:val="true"/>
          <w:cantSplit w:val="true"/>
        </w:trPr>
        <w:tc>
          <w:tcPr>
            <w:tcW w:type="dxa" w:w="2948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规范</w:t>
            </w:r>
          </w:p>
        </w:tc>
        <w:tc>
          <w:tcPr>
            <w:tcW w:type="dxa" w:w="2835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本 SOP 用到的条款</w:t>
            </w:r>
          </w:p>
        </w:tc>
        <w:tc>
          <w:tcPr>
            <w:tcW w:type="dxa" w:w="3855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用途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专利法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6、15、24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职务发明、奖励、公开前的新颖性风险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专利法实施细则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114、115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年费与滞纳金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著作权法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18、19、23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职务作品、委托作品、保护期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计算机软件保护条例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7、13、14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软件权属、登记、保护期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反不正当竞争法（2025 修订）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10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商业秘密定义与侵权行为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劳动合同法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23、24、25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保密、竞业限制人员与期限、违约金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劳动争议司法解释（一）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36、38、39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未约定补偿的 30% 标准、3 个月未付的解除、单位解除的额外补偿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民法典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847—849、859—861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职务技术成果、委托 / 合作开发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互联网域名管理办法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30、33、42、43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域名实名、变更、争议、注销</w:t>
            </w:r>
          </w:p>
        </w:tc>
      </w:tr>
      <w:tr>
        <w:trPr>
          <w:cantSplit w:val="true"/>
        </w:trPr>
        <w:tc>
          <w:tcPr>
            <w:tcW w:type="dxa" w:w="294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国家顶级域名注册实施细则</w:t>
            </w:r>
          </w:p>
        </w:tc>
        <w:tc>
          <w:tcPr>
            <w:tcW w:type="dxa" w:w="283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第 16、51 条</w:t>
            </w:r>
          </w:p>
        </w:tc>
        <w:tc>
          <w:tcPr>
            <w:tcW w:type="dxa" w:w="3855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域名期限、续费确认期</w:t>
            </w:r>
          </w:p>
        </w:tc>
      </w:tr>
    </w:tbl>
    <w:p>
      <w:pPr>
        <w:spacing w:before="0" w:after="80" w:line="312" w:lineRule="auto"/>
      </w:pPr>
      <w:r>
        <w:rPr>
          <w:rFonts w:ascii="宋体" w:hAnsi="宋体" w:eastAsia="宋体"/>
          <w:b w:val="0"/>
          <w:color w:val="808080"/>
          <w:sz w:val="17"/>
        </w:rPr>
        <w:t>版本：v0.1｜编制日期：2026-10-29｜维护：M06 任务负责人｜修订时同步正文、台账和交底表。</w:t>
      </w:r>
    </w:p>
    <w:p>
      <w:pPr>
        <w:pStyle w:val="Heading2"/>
        <w:keepNext/>
        <w:spacing w:before="160" w:after="80"/>
      </w:pPr>
      <w:r>
        <w:rPr>
          <w:rFonts w:ascii="微软雅黑" w:hAnsi="微软雅黑" w:eastAsia="微软雅黑"/>
          <w:b/>
          <w:color w:val="1F4E79"/>
          <w:sz w:val="23"/>
        </w:rPr>
        <w:t>修订记录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</w:tblPr>
      <w:tblGrid>
        <w:gridCol w:w="1134"/>
        <w:gridCol w:w="1701"/>
        <w:gridCol w:w="6803"/>
      </w:tblGrid>
      <w:tr>
        <w:trPr>
          <w:tblHeader w:val="true"/>
          <w:cantSplit w:val="true"/>
        </w:trPr>
        <w:tc>
          <w:tcPr>
            <w:tcW w:type="dxa" w:w="1134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版本</w:t>
            </w:r>
          </w:p>
        </w:tc>
        <w:tc>
          <w:tcPr>
            <w:tcW w:type="dxa" w:w="1701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日期</w:t>
            </w:r>
          </w:p>
        </w:tc>
        <w:tc>
          <w:tcPr>
            <w:tcW w:type="dxa" w:w="6803"/>
            <w:shd w:val="clear" w:color="auto" w:fill="2E75B6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  <w:jc w:val="center"/>
            </w:pPr>
            <w:r/>
            <w:r>
              <w:rPr>
                <w:rFonts w:ascii="微软雅黑" w:hAnsi="微软雅黑" w:eastAsia="微软雅黑"/>
                <w:b/>
                <w:color w:val="FFFFFF"/>
                <w:sz w:val="19"/>
              </w:rPr>
              <w:t>修订内容</w:t>
            </w:r>
          </w:p>
        </w:tc>
      </w:tr>
      <w:tr>
        <w:trPr>
          <w:cantSplit w:val="true"/>
        </w:trPr>
        <w:tc>
          <w:tcPr>
            <w:tcW w:type="dxa" w:w="113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/>
                <w:sz w:val="19"/>
              </w:rPr>
              <w:t>v0.1</w:t>
            </w:r>
          </w:p>
        </w:tc>
        <w:tc>
          <w:tcPr>
            <w:tcW w:type="dxa" w:w="1701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2026-10-29</w:t>
            </w:r>
          </w:p>
        </w:tc>
        <w:tc>
          <w:tcPr>
            <w:tcW w:type="dxa" w:w="6803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before="0" w:after="0" w:line="276" w:lineRule="auto"/>
            </w:pPr>
            <w:r/>
            <w:r>
              <w:rPr>
                <w:rFonts w:ascii="宋体" w:hAnsi="宋体" w:eastAsia="宋体"/>
                <w:b w:val="0"/>
                <w:sz w:val="19"/>
              </w:rPr>
              <w:t>初版：权属 SOP、商业秘密三道闸、竞业限制逐人评估与留痕清单。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77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微软雅黑" w:hAnsi="微软雅黑" w:eastAsia="微软雅黑"/>
        <w:color w:val="808080"/>
        <w:sz w:val="15"/>
      </w:rPr>
      <w:t>法务OPC · M06 知识产权 · 模板 v0.1 · 本模板不构成法律意见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80"/>
    </w:pPr>
    <w:rPr>
      <w:rFonts w:ascii="宋体" w:hAnsi="宋体" w:eastAsia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知识产权权属与商业秘密 SOP（模板 v0.1）</dc:title>
  <dc:subject>入职、在职、离职节点操作手册</dc:subject>
  <dc:creator/>
  <cp:keywords>知识产权,权属,商业秘密,竞业限制,模板</cp:keywords>
  <dc:description/>
  <cp:lastModifiedBy/>
  <cp:revision>1</cp:revision>
  <dcterms:created xsi:type="dcterms:W3CDTF">2026-10-29T00:00:00Z</dcterms:created>
  <dcterms:modified xsi:type="dcterms:W3CDTF">2026-10-29T00:00:00Z</dcterms:modified>
  <cp:category>法务模板</cp:category>
</cp:coreProperties>
</file>