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rFonts w:ascii="微软雅黑" w:hAnsi="微软雅黑" w:eastAsia="微软雅黑"/>
          <w:b/>
          <w:color w:val="1F3864"/>
          <w:sz w:val="44"/>
        </w:rPr>
        <w:t>三人法务部分工与授权额度表</w:t>
      </w:r>
    </w:p>
    <w:p>
      <w:pPr>
        <w:spacing w:after="160"/>
      </w:pPr>
      <w:r>
        <w:rPr>
          <w:rFonts w:ascii="微软雅黑" w:hAnsi="微软雅黑" w:eastAsia="微软雅黑"/>
          <w:color w:val="595959"/>
          <w:sz w:val="20"/>
        </w:rPr>
        <w:t>模拟模板 v0.1｜澄棂科技（虚构）｜2026-10-29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2"/>
      </w:tblGrid>
      <w:tr>
        <w:trPr>
          <w:cantSplit/>
          <w:tblHeader/>
        </w:trPr>
        <w:tc>
          <w:tcPr>
            <w:tcW w:type="dxa" w:w="9411"/>
            <w:shd w:val="clear" w:color="auto" w:fill="D9E2F3"/>
          </w:tcPr>
          <w:p>
            <w:pPr>
              <w:spacing w:after="0"/>
            </w:pPr>
            <w:r>
              <w:rPr>
                <w:rFonts w:ascii="微软雅黑" w:hAnsi="微软雅黑" w:eastAsia="微软雅黑"/>
                <w:color w:val="262626"/>
                <w:sz w:val="18"/>
              </w:rPr>
              <w:t>完全虚构声明：本文件中的公司“澄棂科技”、角色 A/B/C、金额档位、审批人、事项和日期均为教学示例，不对应任何真实公司、真实岗位或真实授权。授权额度与对外签署人必须按本司章程、股东会/董事会决议、授权委托书和内部授权制度替换；本文件不构成法律意见，也不替代具体合同的审批与签署流程。</w:t>
            </w:r>
          </w:p>
        </w:tc>
      </w:tr>
    </w:tbl>
    <w:p>
      <w:pPr>
        <w:spacing w:after="0"/>
      </w:pPr>
    </w:p>
    <w:p>
      <w:pPr>
        <w:pStyle w:val="Heading1"/>
        <w:spacing w:before="240" w:after="80"/>
      </w:pPr>
      <w:r>
        <w:rPr>
          <w:rFonts w:ascii="微软雅黑" w:hAnsi="微软雅黑" w:eastAsia="微软雅黑"/>
          <w:b/>
          <w:color w:val="1F3864"/>
          <w:sz w:val="28"/>
        </w:rPr>
        <w:t>一、使用说明</w:t>
      </w:r>
    </w:p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1"/>
        </w:rPr>
        <w:t>这份表解决三个问题：一件事谁主责、谁必须会签、谁能批到多少钱。它不解决“谁级别高”，也不把法务部写成一个人人都是负责人的部门。填写顺序建议如下：</w:t>
      </w:r>
    </w:p>
    <w:p>
      <w:pPr>
        <w:spacing w:after="60" w:line="288" w:lineRule="auto"/>
        <w:ind w:left="442" w:hanging="312"/>
      </w:pPr>
      <w:r>
        <w:rPr>
          <w:rFonts w:ascii="微软雅黑" w:hAnsi="微软雅黑" w:eastAsia="微软雅黑"/>
          <w:sz w:val="21"/>
        </w:rPr>
        <w:t>1. 先列事项：把本司反复出现的合同、合规、争议、监管和运营事项列全，不要只列“合同审查”。</w:t>
      </w:r>
    </w:p>
    <w:p>
      <w:pPr>
        <w:spacing w:after="60" w:line="288" w:lineRule="auto"/>
        <w:ind w:left="442" w:hanging="312"/>
      </w:pPr>
      <w:r>
        <w:rPr>
          <w:rFonts w:ascii="微软雅黑" w:hAnsi="微软雅黑" w:eastAsia="微软雅黑"/>
          <w:sz w:val="21"/>
        </w:rPr>
        <w:t>2. 再定主责：每行只能有一个主责；主责是“对结果负责并推动闭环”的人，不是“最后签字”的人。</w:t>
      </w:r>
    </w:p>
    <w:p>
      <w:pPr>
        <w:spacing w:after="60" w:line="288" w:lineRule="auto"/>
        <w:ind w:left="442" w:hanging="312"/>
      </w:pPr>
      <w:r>
        <w:t>3. 再定会签与知会：会签按本司制度履行书面复核；意见分歧提交有权批准人处理，不能以抄送替代。</w:t>
      </w:r>
    </w:p>
    <w:p>
      <w:pPr>
        <w:spacing w:after="60" w:line="288" w:lineRule="auto"/>
        <w:ind w:left="442" w:hanging="312"/>
      </w:pPr>
      <w:r>
        <w:rPr>
          <w:rFonts w:ascii="微软雅黑" w:hAnsi="微软雅黑" w:eastAsia="微软雅黑"/>
          <w:sz w:val="21"/>
        </w:rPr>
        <w:t>4. 最后定授权：把“法务审查/决定”“对外签署”“付款批准”分开写；金额档位是示例，必须按本司制度替换。</w:t>
      </w:r>
    </w:p>
    <w:p>
      <w:pPr>
        <w:spacing w:after="120" w:line="300" w:lineRule="auto"/>
      </w:pPr>
      <w:r>
        <w:rPr>
          <w:rFonts w:ascii="微软雅黑" w:hAnsi="微软雅黑" w:eastAsia="微软雅黑"/>
          <w:b/>
          <w:sz w:val="21"/>
        </w:rPr>
        <w:t>三个原则：主责唯一；审查、签署、付款尽量分离；例外必须留下书面批准。1—2 人团队可以合并角色，但不能取消会签、付款复核和例外批准。</w:t>
      </w:r>
    </w:p>
    <w:p>
      <w:pPr>
        <w:pStyle w:val="Heading1"/>
        <w:spacing w:before="240" w:after="80"/>
      </w:pPr>
      <w:r>
        <w:rPr>
          <w:rFonts w:ascii="微软雅黑" w:hAnsi="微软雅黑" w:eastAsia="微软雅黑"/>
          <w:b/>
          <w:color w:val="1F3864"/>
          <w:sz w:val="28"/>
        </w:rPr>
        <w:t>二、角色与备份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353"/>
        <w:gridCol w:w="2353"/>
        <w:gridCol w:w="2353"/>
        <w:gridCol w:w="2353"/>
      </w:tblGrid>
      <w:tr>
        <w:trPr>
          <w:tblHeader w:val="true"/>
          <w:cantSplit/>
          <w:tblHeader/>
        </w:trPr>
        <w:tc>
          <w:tcPr>
            <w:tcW w:type="dxa" w:w="1701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角色</w:t>
            </w:r>
          </w:p>
        </w:tc>
        <w:tc>
          <w:tcPr>
            <w:tcW w:type="dxa" w:w="3515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职责（示例）</w:t>
            </w:r>
          </w:p>
        </w:tc>
        <w:tc>
          <w:tcPr>
            <w:tcW w:type="dxa" w:w="2608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主要产出</w:t>
            </w:r>
          </w:p>
        </w:tc>
        <w:tc>
          <w:tcPr>
            <w:tcW w:type="dxa" w:w="1701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备份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角色 A</w:t>
              <w:br/>
              <w:t>法务负责人</w:t>
            </w:r>
          </w:p>
        </w:tc>
        <w:tc>
          <w:tcPr>
            <w:tcW w:type="dxa" w:w="3515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合同体系与重大交易、争议策略、预算与外聘、监管关系、向管理层报告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制度/模板、重大事项意见、预算与外聘方案、季度复盘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角色 B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角色 B</w:t>
              <w:br/>
              <w:t>合同与合规</w:t>
            </w:r>
          </w:p>
        </w:tc>
        <w:tc>
          <w:tcPr>
            <w:tcW w:type="dxa" w:w="3515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常规合同审查、模板维护、合规培训、数据与隐私、知识产权流程</w:t>
            </w:r>
          </w:p>
        </w:tc>
        <w:tc>
          <w:tcPr>
            <w:tcW w:type="dxa" w:w="2608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审查意见、模板版本、培训材料、合规检查记录</w:t>
            </w:r>
          </w:p>
        </w:tc>
        <w:tc>
          <w:tcPr>
            <w:tcW w:type="dxa" w:w="1701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角色 C；重大事项转 A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角色 C</w:t>
              <w:br/>
              <w:t>运营与争议支持</w:t>
            </w:r>
          </w:p>
        </w:tc>
        <w:tc>
          <w:tcPr>
            <w:tcW w:type="dxa" w:w="3515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台账、工作量统计、印章与档案、诉讼证据与期限、外部律师日常联络、费用核对</w:t>
            </w:r>
          </w:p>
        </w:tc>
        <w:tc>
          <w:tcPr>
            <w:tcW w:type="dxa" w:w="2608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事项台账、证据清单、费用核对表、归档记录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角色 B</w:t>
            </w:r>
          </w:p>
        </w:tc>
      </w:tr>
    </w:tbl>
    <w:p>
      <w:r>
        <w:br w:type="page"/>
      </w:r>
    </w:p>
    <w:p>
      <w:pPr>
        <w:pStyle w:val="Heading1"/>
        <w:spacing w:before="240" w:after="80"/>
      </w:pPr>
      <w:r>
        <w:rPr>
          <w:rFonts w:ascii="微软雅黑" w:hAnsi="微软雅黑" w:eastAsia="微软雅黑"/>
          <w:b/>
          <w:color w:val="1F3864"/>
          <w:sz w:val="28"/>
        </w:rPr>
        <w:t>三、分工矩阵（主责/会签/知会）</w:t>
      </w:r>
    </w:p>
    <w:p>
      <w:pPr>
        <w:spacing w:after="120" w:line="300" w:lineRule="auto"/>
      </w:pPr>
      <w:r>
        <w:t>主责仅指法务内部推动闭环的人；业务仍负责商业决策、事实与履约。每行一个法务主责；会签须形成书面意见，分歧升级有权人；知会为告知。 金额或风险触发授权表升级时，由授权表指定的主责接手；采购、保密、知识产权等也适用该升级规则。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1569"/>
        <w:gridCol w:w="1569"/>
        <w:gridCol w:w="1569"/>
        <w:gridCol w:w="1569"/>
        <w:gridCol w:w="1569"/>
        <w:gridCol w:w="1569"/>
      </w:tblGrid>
      <w:tr>
        <w:trPr>
          <w:tblHeader w:val="true"/>
          <w:cantSplit/>
          <w:tblHeader/>
        </w:trPr>
        <w:tc>
          <w:tcPr>
            <w:tcW w:type="dxa" w:w="3515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事项（示例）</w:t>
            </w:r>
          </w:p>
        </w:tc>
        <w:tc>
          <w:tcPr>
            <w:tcW w:type="dxa" w:w="1247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角色 A</w:t>
            </w:r>
          </w:p>
        </w:tc>
        <w:tc>
          <w:tcPr>
            <w:tcW w:type="dxa" w:w="1361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角色 B</w:t>
            </w:r>
          </w:p>
        </w:tc>
        <w:tc>
          <w:tcPr>
            <w:tcW w:type="dxa" w:w="1474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角色 C</w:t>
            </w:r>
          </w:p>
        </w:tc>
        <w:tc>
          <w:tcPr>
            <w:tcW w:type="dxa" w:w="1247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业务方</w:t>
            </w:r>
          </w:p>
        </w:tc>
        <w:tc>
          <w:tcPr>
            <w:tcW w:type="dxa" w:w="1814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升级/批准</w:t>
            </w:r>
          </w:p>
        </w:tc>
      </w:tr>
      <w:tr>
        <w:trPr>
          <w:cantSplit/>
        </w:trPr>
        <w:tc>
          <w:tcPr>
            <w:tcW w:type="dxa" w:w="3515"/>
            <w:vAlign w:val="center"/>
          </w:tcPr>
          <w:p>
            <w:r>
              <w:rPr>
                <w:sz w:val="18"/>
              </w:rPr>
              <w:t>模板内常规合同 ≤5 万元（无重大触发项）</w:t>
            </w:r>
          </w:p>
        </w:tc>
        <w:tc>
          <w:tcPr>
            <w:tcW w:type="dxa" w:w="1247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知会</w:t>
            </w:r>
          </w:p>
        </w:tc>
        <w:tc>
          <w:tcPr>
            <w:tcW w:type="dxa" w:w="1361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主责</w:t>
            </w:r>
          </w:p>
        </w:tc>
        <w:tc>
          <w:tcPr>
            <w:tcW w:type="dxa" w:w="1474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知会</w:t>
            </w:r>
          </w:p>
        </w:tc>
        <w:tc>
          <w:tcPr>
            <w:tcW w:type="dxa" w:w="1247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发起</w:t>
            </w:r>
          </w:p>
        </w:tc>
        <w:tc>
          <w:tcPr>
            <w:tcW w:type="dxa" w:w="1814"/>
            <w:vAlign w:val="center"/>
          </w:tcPr>
          <w:p>
            <w:r>
              <w:rPr>
                <w:sz w:val="18"/>
              </w:rPr>
              <w:t>按业务审批制度；详见授权表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val="clear" w:color="auto" w:fill="F2F2F2"/>
          </w:tcPr>
          <w:p>
            <w:r>
              <w:rPr>
                <w:sz w:val="18"/>
              </w:rPr>
              <w:t>非标合同、模板合同 &gt;5 万元，或任何重大触发项</w:t>
            </w:r>
          </w:p>
        </w:tc>
        <w:tc>
          <w:tcPr>
            <w:tcW w:type="dxa" w:w="1247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主责</w:t>
            </w:r>
          </w:p>
        </w:tc>
        <w:tc>
          <w:tcPr>
            <w:tcW w:type="dxa" w:w="1361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会签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知会</w:t>
            </w:r>
          </w:p>
        </w:tc>
        <w:tc>
          <w:tcPr>
            <w:tcW w:type="dxa" w:w="1247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发起</w:t>
            </w:r>
          </w:p>
        </w:tc>
        <w:tc>
          <w:tcPr>
            <w:tcW w:type="dxa" w:w="1814"/>
            <w:vAlign w:val="center"/>
            <w:shd w:val="clear" w:color="auto" w:fill="F2F2F2"/>
          </w:tcPr>
          <w:p>
            <w:r>
              <w:rPr>
                <w:sz w:val="18"/>
              </w:rPr>
              <w:t>按金额及重大触发项升级；详见授权表</w:t>
            </w:r>
          </w:p>
        </w:tc>
      </w:tr>
      <w:tr>
        <w:trPr>
          <w:cantSplit/>
        </w:trPr>
        <w:tc>
          <w:tcPr>
            <w:tcW w:type="dxa" w:w="3515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采购、保密与供应商协议</w:t>
            </w:r>
          </w:p>
        </w:tc>
        <w:tc>
          <w:tcPr>
            <w:tcW w:type="dxa" w:w="1247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知会</w:t>
            </w:r>
          </w:p>
        </w:tc>
        <w:tc>
          <w:tcPr>
            <w:tcW w:type="dxa" w:w="1361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主责</w:t>
            </w:r>
          </w:p>
        </w:tc>
        <w:tc>
          <w:tcPr>
            <w:tcW w:type="dxa" w:w="1474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会签（归档）</w:t>
            </w:r>
          </w:p>
        </w:tc>
        <w:tc>
          <w:tcPr>
            <w:tcW w:type="dxa" w:w="1247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发起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财务会签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投融资、章程、股东会/董事会文件</w:t>
            </w:r>
          </w:p>
        </w:tc>
        <w:tc>
          <w:tcPr>
            <w:tcW w:type="dxa" w:w="1247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主责</w:t>
            </w:r>
          </w:p>
        </w:tc>
        <w:tc>
          <w:tcPr>
            <w:tcW w:type="dxa" w:w="1361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会签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知会</w:t>
            </w:r>
          </w:p>
        </w:tc>
        <w:tc>
          <w:tcPr>
            <w:tcW w:type="dxa" w:w="1247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创始人/财务发起</w:t>
            </w:r>
          </w:p>
        </w:tc>
        <w:tc>
          <w:tcPr>
            <w:tcW w:type="dxa" w:w="1814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董事会/股东会</w:t>
            </w:r>
          </w:p>
        </w:tc>
      </w:tr>
      <w:tr>
        <w:trPr>
          <w:cantSplit/>
        </w:trPr>
        <w:tc>
          <w:tcPr>
            <w:tcW w:type="dxa" w:w="3515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数据出境、隐私与个人信息</w:t>
            </w:r>
          </w:p>
        </w:tc>
        <w:tc>
          <w:tcPr>
            <w:tcW w:type="dxa" w:w="1247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主责</w:t>
            </w:r>
          </w:p>
        </w:tc>
        <w:tc>
          <w:tcPr>
            <w:tcW w:type="dxa" w:w="1361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会签</w:t>
            </w:r>
          </w:p>
        </w:tc>
        <w:tc>
          <w:tcPr>
            <w:tcW w:type="dxa" w:w="1474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知会</w:t>
            </w:r>
          </w:p>
        </w:tc>
        <w:tc>
          <w:tcPr>
            <w:tcW w:type="dxa" w:w="1247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业务/IT 发起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视情况外部律师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劳动争议、仲裁/诉讼</w:t>
            </w:r>
          </w:p>
        </w:tc>
        <w:tc>
          <w:tcPr>
            <w:tcW w:type="dxa" w:w="1247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主责</w:t>
            </w:r>
          </w:p>
        </w:tc>
        <w:tc>
          <w:tcPr>
            <w:tcW w:type="dxa" w:w="1361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会签（合同/劳动）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会签（证据/期限）</w:t>
            </w:r>
          </w:p>
        </w:tc>
        <w:tc>
          <w:tcPr>
            <w:tcW w:type="dxa" w:w="1247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业务/HR 发起</w:t>
            </w:r>
          </w:p>
        </w:tc>
        <w:tc>
          <w:tcPr>
            <w:tcW w:type="dxa" w:w="1814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总经理；必要时外部律师</w:t>
            </w:r>
          </w:p>
        </w:tc>
      </w:tr>
      <w:tr>
        <w:trPr>
          <w:cantSplit/>
        </w:trPr>
        <w:tc>
          <w:tcPr>
            <w:tcW w:type="dxa" w:w="3515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监管检查、问询与整改</w:t>
            </w:r>
          </w:p>
        </w:tc>
        <w:tc>
          <w:tcPr>
            <w:tcW w:type="dxa" w:w="1247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主责</w:t>
            </w:r>
          </w:p>
        </w:tc>
        <w:tc>
          <w:tcPr>
            <w:tcW w:type="dxa" w:w="1361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会签</w:t>
            </w:r>
          </w:p>
        </w:tc>
        <w:tc>
          <w:tcPr>
            <w:tcW w:type="dxa" w:w="1474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会签（材料/时限）</w:t>
            </w:r>
          </w:p>
        </w:tc>
        <w:tc>
          <w:tcPr>
            <w:tcW w:type="dxa" w:w="1247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业务发起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总经理/监管对接人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知识产权申请、维护与争议</w:t>
            </w:r>
          </w:p>
        </w:tc>
        <w:tc>
          <w:tcPr>
            <w:tcW w:type="dxa" w:w="1247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会签</w:t>
            </w:r>
          </w:p>
        </w:tc>
        <w:tc>
          <w:tcPr>
            <w:tcW w:type="dxa" w:w="1361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主责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知会</w:t>
            </w:r>
          </w:p>
        </w:tc>
        <w:tc>
          <w:tcPr>
            <w:tcW w:type="dxa" w:w="1247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研发/品牌发起</w:t>
            </w:r>
          </w:p>
        </w:tc>
        <w:tc>
          <w:tcPr>
            <w:tcW w:type="dxa" w:w="1814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外部代理机构</w:t>
            </w:r>
          </w:p>
        </w:tc>
      </w:tr>
      <w:tr>
        <w:trPr>
          <w:cantSplit/>
        </w:trPr>
        <w:tc>
          <w:tcPr>
            <w:tcW w:type="dxa" w:w="3515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外部律师选聘、报价与费用核对</w:t>
            </w:r>
          </w:p>
        </w:tc>
        <w:tc>
          <w:tcPr>
            <w:tcW w:type="dxa" w:w="1247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主责</w:t>
            </w:r>
          </w:p>
        </w:tc>
        <w:tc>
          <w:tcPr>
            <w:tcW w:type="dxa" w:w="1361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会签（范围）</w:t>
            </w:r>
          </w:p>
        </w:tc>
        <w:tc>
          <w:tcPr>
            <w:tcW w:type="dxa" w:w="1474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会签（费用/台账）</w:t>
            </w:r>
          </w:p>
        </w:tc>
        <w:tc>
          <w:tcPr>
            <w:tcW w:type="dxa" w:w="1247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业务发起</w:t>
            </w:r>
          </w:p>
        </w:tc>
        <w:tc>
          <w:tcPr>
            <w:tcW w:type="dxa" w:w="1814"/>
            <w:vAlign w:val="center"/>
          </w:tcPr>
          <w:p>
            <w:r>
              <w:rPr>
                <w:sz w:val="18"/>
              </w:rPr>
              <w:t>单笔&gt;20万元或超预算按授权表升级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预算与工作量数据整理</w:t>
            </w:r>
          </w:p>
        </w:tc>
        <w:tc>
          <w:tcPr>
            <w:tcW w:type="dxa" w:w="1247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会签/批准</w:t>
            </w:r>
          </w:p>
        </w:tc>
        <w:tc>
          <w:tcPr>
            <w:tcW w:type="dxa" w:w="1361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知会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主责</w:t>
            </w:r>
          </w:p>
        </w:tc>
        <w:tc>
          <w:tcPr>
            <w:tcW w:type="dxa" w:w="1247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财务会签</w:t>
            </w:r>
          </w:p>
        </w:tc>
        <w:tc>
          <w:tcPr>
            <w:tcW w:type="dxa" w:w="1814"/>
            <w:vAlign w:val="center"/>
            <w:shd w:val="clear" w:color="auto" w:fill="F2F2F2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总经理</w:t>
            </w:r>
          </w:p>
        </w:tc>
      </w:tr>
      <w:tr>
        <w:trPr>
          <w:cantSplit/>
        </w:trPr>
        <w:tc>
          <w:tcPr>
            <w:tcW w:type="dxa" w:w="3515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合同印章、档案与用印</w:t>
            </w:r>
          </w:p>
        </w:tc>
        <w:tc>
          <w:tcPr>
            <w:tcW w:type="dxa" w:w="1247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知会</w:t>
            </w:r>
          </w:p>
        </w:tc>
        <w:tc>
          <w:tcPr>
            <w:tcW w:type="dxa" w:w="1361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会签（合同版本）</w:t>
            </w:r>
          </w:p>
        </w:tc>
        <w:tc>
          <w:tcPr>
            <w:tcW w:type="dxa" w:w="1474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主责</w:t>
            </w:r>
          </w:p>
        </w:tc>
        <w:tc>
          <w:tcPr>
            <w:tcW w:type="dxa" w:w="1247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业务发起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例外→总经理</w:t>
            </w:r>
          </w:p>
        </w:tc>
      </w:tr>
    </w:tbl>
    <w:p>
      <w:r>
        <w:br w:type="page"/>
      </w:r>
    </w:p>
    <w:p>
      <w:pPr>
        <w:pStyle w:val="Heading1"/>
        <w:spacing w:before="240" w:after="80"/>
      </w:pPr>
      <w:r>
        <w:rPr>
          <w:rFonts w:ascii="微软雅黑" w:hAnsi="微软雅黑" w:eastAsia="微软雅黑"/>
          <w:b/>
          <w:color w:val="1F3864"/>
          <w:sz w:val="28"/>
        </w:rPr>
        <w:t>四、授权额度表（模拟示例）</w:t>
      </w:r>
    </w:p>
    <w:p>
      <w:pPr>
        <w:spacing w:after="120" w:line="300" w:lineRule="auto"/>
      </w:pPr>
      <w:r>
        <w:t>金额档位、审查人和签署人均为模拟示例。表中仅列法务内部主责；业务批准、付款批准各按本司制度办理，不因法务主责而转移。重大触发项优先于金额档位。法定代表人的代表权依法确定；其他人员须核验授权，预算额度本身不授予对外签约权。内部审批限制与合同对外效力须分别判断，不能把缺审批直接等同合同无效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1569"/>
        <w:gridCol w:w="1569"/>
        <w:gridCol w:w="1569"/>
        <w:gridCol w:w="1569"/>
        <w:gridCol w:w="1569"/>
        <w:gridCol w:w="1569"/>
      </w:tblGrid>
      <w:tr>
        <w:trPr>
          <w:tblHeader w:val="true"/>
          <w:cantSplit/>
          <w:tblHeader/>
        </w:trPr>
        <w:tc>
          <w:tcPr>
            <w:tcW w:type="dxa" w:w="2835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事项/金额档位（单笔，含税）</w:t>
            </w:r>
          </w:p>
        </w:tc>
        <w:tc>
          <w:tcPr>
            <w:tcW w:type="dxa" w:w="1587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法务审查/决定</w:t>
            </w:r>
          </w:p>
        </w:tc>
        <w:tc>
          <w:tcPr>
            <w:tcW w:type="dxa" w:w="1814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对外签署人（示例）</w:t>
            </w:r>
          </w:p>
        </w:tc>
        <w:tc>
          <w:tcPr>
            <w:tcW w:type="dxa" w:w="1361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必须会签</w:t>
            </w:r>
          </w:p>
        </w:tc>
        <w:tc>
          <w:tcPr>
            <w:tcW w:type="dxa" w:w="1701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升级/批准</w:t>
            </w:r>
          </w:p>
        </w:tc>
        <w:tc>
          <w:tcPr>
            <w:tcW w:type="dxa" w:w="1814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备注</w:t>
            </w:r>
          </w:p>
        </w:tc>
      </w:tr>
      <w:tr>
        <w:trPr>
          <w:cantSplit/>
        </w:trPr>
        <w:tc>
          <w:tcPr>
            <w:tcW w:type="dxa" w:w="1569"/>
          </w:tcPr>
          <w:p>
            <w:r>
              <w:rPr>
                <w:sz w:val="18"/>
              </w:rPr>
              <w:t>模板内常规合同 ≤5 万元（无重大触发项）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角色 B 审查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业务负责人（书面授权内）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财务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按本司业务审批制度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偏离模板走下一档</w:t>
            </w:r>
          </w:p>
        </w:tc>
      </w:tr>
      <w:tr>
        <w:trPr>
          <w:cantSplit/>
        </w:trPr>
        <w:tc>
          <w:tcPr>
            <w:tcW w:type="dxa" w:w="1569"/>
          </w:tcPr>
          <w:p>
            <w:r>
              <w:rPr>
                <w:sz w:val="18"/>
              </w:rPr>
              <w:t>非标合同 ≤30 万元，或模板合同 &gt;5 万且 ≤30 万元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角色 A 审查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总经理/授权代表（权限内）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财务 + 业务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按本司业务审批制度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非标小额同样纳入；重大触发项优先升级</w:t>
            </w:r>
          </w:p>
        </w:tc>
      </w:tr>
      <w:tr>
        <w:trPr>
          <w:cantSplit/>
        </w:trPr>
        <w:tc>
          <w:tcPr>
            <w:tcW w:type="dxa" w:w="1569"/>
          </w:tcPr>
          <w:p>
            <w:r>
              <w:rPr>
                <w:sz w:val="18"/>
              </w:rPr>
              <w:t>合同 &gt;30 万元，或任何金额的跨境、担保、独家、无限责任事项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角色 A 审查；必要时外部复核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法定代表人/书面授权代表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财务 + 业务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按章程及适用法律由有权机构批准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金额不是法定审批标准；优先适用此行</w:t>
            </w:r>
          </w:p>
        </w:tc>
      </w:tr>
      <w:tr>
        <w:trPr>
          <w:cantSplit/>
        </w:trPr>
        <w:tc>
          <w:tcPr>
            <w:tcW w:type="dxa" w:w="1569"/>
          </w:tcPr>
          <w:p>
            <w:r>
              <w:rPr>
                <w:sz w:val="18"/>
              </w:rPr>
              <w:t>争议和解 ≤10 万元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角色 A 提出并复核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角色 A（书面授权内）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财务；角色 C 记录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管理层按制度批准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不得将记录等同付款批准</w:t>
            </w:r>
          </w:p>
        </w:tc>
      </w:tr>
      <w:tr>
        <w:trPr>
          <w:cantSplit/>
        </w:trPr>
        <w:tc>
          <w:tcPr>
            <w:tcW w:type="dxa" w:w="1569"/>
          </w:tcPr>
          <w:p>
            <w:r>
              <w:rPr>
                <w:sz w:val="18"/>
              </w:rPr>
              <w:t>争议和解 &gt;10 万且 ≤50 万元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角色 A 提出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总经理/授权代表（权限内）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财务 + 业务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按章程/授权制度批准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诉讼中和解另须特别授权</w:t>
            </w:r>
          </w:p>
        </w:tc>
      </w:tr>
      <w:tr>
        <w:trPr>
          <w:cantSplit/>
        </w:trPr>
        <w:tc>
          <w:tcPr>
            <w:tcW w:type="dxa" w:w="1569"/>
          </w:tcPr>
          <w:p>
            <w:r>
              <w:rPr>
                <w:sz w:val="18"/>
              </w:rPr>
              <w:t>争议和解 &gt;50 万元，或任何金额的重大/关联事项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角色 A 提出；必要时外部复核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法定代表人/书面授权代表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财务 + 业务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按章程及适用法律由有权机构批准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不得先付款后补批</w:t>
            </w:r>
          </w:p>
        </w:tc>
      </w:tr>
      <w:tr>
        <w:trPr>
          <w:cantSplit/>
        </w:trPr>
        <w:tc>
          <w:tcPr>
            <w:tcW w:type="dxa" w:w="1569"/>
          </w:tcPr>
          <w:p>
            <w:r>
              <w:rPr>
                <w:sz w:val="18"/>
              </w:rPr>
              <w:t>外聘选聘：预算内且单笔 ≤20 万元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角色 A 选聘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角色 A（另有书面签约授权）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财务；角色 C 比价/台账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按采购与预算制度批准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预算可用不等于有签署权限</w:t>
            </w:r>
          </w:p>
        </w:tc>
      </w:tr>
      <w:tr>
        <w:trPr>
          <w:cantSplit/>
        </w:trPr>
        <w:tc>
          <w:tcPr>
            <w:tcW w:type="dxa" w:w="1569"/>
          </w:tcPr>
          <w:p>
            <w:r>
              <w:rPr>
                <w:sz w:val="18"/>
              </w:rPr>
              <w:t>外聘选聘：单笔 &gt;20 万元或超预算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角色 A 提案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总经理/授权代表（权限内）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财务 + 采购（如设）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先完成超额/补预算审批；必要时有权机构批准</w:t>
            </w:r>
          </w:p>
        </w:tc>
        <w:tc>
          <w:tcPr>
            <w:tcW w:type="dxa" w:w="1569"/>
          </w:tcPr>
          <w:p>
            <w:r>
              <w:rPr>
                <w:sz w:val="18"/>
              </w:rPr>
              <w:t>紧急期限先依法保全，补预算走书面应急程序</w:t>
            </w:r>
          </w:p>
        </w:tc>
      </w:tr>
    </w:tbl>
    <w:p>
      <w:pPr>
        <w:pStyle w:val="Heading1"/>
        <w:spacing w:before="240" w:after="80"/>
      </w:pPr>
      <w:r>
        <w:rPr>
          <w:rFonts w:ascii="微软雅黑" w:hAnsi="微软雅黑" w:eastAsia="微软雅黑"/>
          <w:b/>
          <w:color w:val="1F3864"/>
          <w:sz w:val="28"/>
        </w:rPr>
        <w:t>五、1—2 人团队怎么兼</w:t>
      </w:r>
    </w:p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1"/>
        </w:rPr>
        <w:t>两人团队：角色 A 保留负责人职责（重大交易、争议策略、预算、监管），角色 B 合并合同、合规、数据、知识产权和运营；角色 C 的台账、期限和费用核对并入 B。重大争议、投融资、跨境或监管强制事项，A 主责并引入外部律师；B 不因“人手少”而独自承担应由 A 决策的事项。</w:t>
      </w:r>
    </w:p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1"/>
        </w:rPr>
        <w:t>一人团队：可以合并 A/B/C，但要保留三条硬约束：</w:t>
      </w:r>
    </w:p>
    <w:p>
      <w:pPr>
        <w:pStyle w:val="ListBullet"/>
        <w:spacing w:after="60" w:line="288" w:lineRule="auto"/>
      </w:pPr>
      <w:r>
        <w:rPr>
          <w:rFonts w:ascii="微软雅黑" w:hAnsi="微软雅黑" w:eastAsia="微软雅黑"/>
          <w:sz w:val="21"/>
        </w:rPr>
        <w:t>重大事项由外部律师复核，法务负责范围、预算和落地，不假装什么都能自己下结论。</w:t>
      </w:r>
    </w:p>
    <w:p>
      <w:pPr>
        <w:pStyle w:val="ListBullet"/>
        <w:spacing w:after="60" w:line="288" w:lineRule="auto"/>
      </w:pPr>
      <w:r>
        <w:rPr>
          <w:rFonts w:ascii="微软雅黑" w:hAnsi="微软雅黑" w:eastAsia="微软雅黑"/>
          <w:sz w:val="21"/>
        </w:rPr>
        <w:t>付款由财务会签，印章保管与合同审批尽量分离；不能一个人从起草、审批、用印到付款全包。</w:t>
      </w:r>
    </w:p>
    <w:p>
      <w:pPr>
        <w:pStyle w:val="ListBullet"/>
        <w:spacing w:after="60" w:line="288" w:lineRule="auto"/>
      </w:pPr>
      <w:r>
        <w:rPr>
          <w:rFonts w:ascii="微软雅黑" w:hAnsi="微软雅黑" w:eastAsia="微软雅黑"/>
          <w:sz w:val="21"/>
        </w:rPr>
        <w:t>超额度、无先例、利益冲突或监管期限事项，必须取得管理层书面批准，并记录批准依据。</w:t>
      </w:r>
    </w:p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0"/>
        </w:rPr>
        <w:t>一人团队的“不做清单”：不自己审自己签的合同而不留第二双眼睛；不保管印章又独自批准付款；不对监管机关作未经核实的口头承诺；不把模板当成对具体事项的法律意见。忙不过来时，先减范围、调排期、写明风险，不要靠不记录来“扛过去”。</w:t>
      </w:r>
    </w:p>
    <w:p>
      <w:pPr>
        <w:pStyle w:val="Heading1"/>
        <w:spacing w:before="240" w:after="80"/>
      </w:pPr>
      <w:r>
        <w:rPr>
          <w:rFonts w:ascii="微软雅黑" w:hAnsi="微软雅黑" w:eastAsia="微软雅黑"/>
          <w:b/>
          <w:color w:val="1F3864"/>
          <w:sz w:val="28"/>
        </w:rPr>
        <w:t>六、升级与例外</w:t>
      </w:r>
    </w:p>
    <w:p>
      <w:pPr>
        <w:spacing w:after="60" w:line="288" w:lineRule="auto"/>
        <w:ind w:left="442" w:hanging="312"/>
      </w:pPr>
      <w:r>
        <w:rPr>
          <w:rFonts w:ascii="微软雅黑" w:hAnsi="微软雅黑" w:eastAsia="微软雅黑"/>
          <w:sz w:val="21"/>
        </w:rPr>
        <w:t>1. 业务方书面提出事项：写清背景、期限、金额、对方主体和希望完成时间。</w:t>
      </w:r>
    </w:p>
    <w:p>
      <w:pPr>
        <w:spacing w:after="60" w:line="288" w:lineRule="auto"/>
        <w:ind w:left="442" w:hanging="312"/>
      </w:pPr>
      <w:r>
        <w:t>2. 内部示例：主责法务在1个工作日内确认收到；硬期限事项当日确认并优先保全，不得因档位或缺预算延误。填写S1/S2/S3完成期限；更早硬期限优先。</w:t>
      </w:r>
    </w:p>
    <w:p>
      <w:pPr>
        <w:spacing w:after="60" w:line="288" w:lineRule="auto"/>
        <w:ind w:left="442" w:hanging="312"/>
      </w:pPr>
      <w:r>
        <w:rPr>
          <w:rFonts w:ascii="微软雅黑" w:hAnsi="微软雅黑" w:eastAsia="微软雅黑"/>
          <w:sz w:val="21"/>
        </w:rPr>
        <w:t>3. 涉及财务、业务、IT、HR 的，按矩阵完成会签；会签意见写“同意/有条件同意/不同意”，不要只回“收到”。</w:t>
      </w:r>
    </w:p>
    <w:p>
      <w:pPr>
        <w:spacing w:after="60" w:line="288" w:lineRule="auto"/>
        <w:ind w:left="442" w:hanging="312"/>
      </w:pPr>
      <w:r>
        <w:rPr>
          <w:rFonts w:ascii="微软雅黑" w:hAnsi="微软雅黑" w:eastAsia="微软雅黑"/>
          <w:sz w:val="21"/>
        </w:rPr>
        <w:t>4. 在授权额度内由对应签署人签署；超过额度、跨主体、担保、独家、无限责任或利益冲突的，升级到 A，再按章程/授权制度升级到总经理、董事会或股东会。</w:t>
      </w:r>
    </w:p>
    <w:p>
      <w:pPr>
        <w:spacing w:after="60" w:line="288" w:lineRule="auto"/>
        <w:ind w:left="442" w:hanging="312"/>
      </w:pPr>
      <w:r>
        <w:rPr>
          <w:rFonts w:ascii="微软雅黑" w:hAnsi="微软雅黑" w:eastAsia="微软雅黑"/>
          <w:sz w:val="21"/>
        </w:rPr>
        <w:t>5. 例外必须留下书面批准：谁批、批了什么、有效期、补什么手续；不能用“先办了再说”替代。</w:t>
      </w:r>
    </w:p>
    <w:p>
      <w:pPr>
        <w:spacing w:after="60" w:line="288" w:lineRule="auto"/>
        <w:ind w:left="442" w:hanging="312"/>
      </w:pPr>
      <w:r>
        <w:rPr>
          <w:rFonts w:ascii="微软雅黑" w:hAnsi="微软雅黑" w:eastAsia="微软雅黑"/>
          <w:sz w:val="21"/>
        </w:rPr>
        <w:t>6. 完成后归档：合同版本、审批记录、授权依据、付款/交付证据和复盘结论放在同一编号下。</w:t>
      </w:r>
    </w:p>
    <w:p>
      <w:pPr>
        <w:pStyle w:val="Heading1"/>
        <w:spacing w:before="240" w:after="80"/>
      </w:pPr>
      <w:r>
        <w:rPr>
          <w:rFonts w:ascii="微软雅黑" w:hAnsi="微软雅黑" w:eastAsia="微软雅黑"/>
          <w:b/>
          <w:color w:val="1F3864"/>
          <w:sz w:val="28"/>
        </w:rPr>
        <w:t>七、记录、复盘与交接</w:t>
      </w:r>
    </w:p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0"/>
        </w:rPr>
        <w:t>台账最少字段：编号、事项、类型、接收日、承诺档位、完成日、主责、会签、金额、授权依据、档案位置。月度更新台账；季度看类型结构、按时率、逾期和返工；年度回到预算和外聘安排。复盘只问三个问题：哪类事项反复出现、哪一步在等、下一次改流程还是改授权。不要把复盘做成个人排名。</w:t>
      </w:r>
    </w:p>
    <w:p>
      <w:pPr>
        <w:spacing w:after="120" w:line="300" w:lineRule="auto"/>
      </w:pPr>
      <w:r>
        <w:rPr>
          <w:rFonts w:ascii="微软雅黑" w:hAnsi="微软雅黑" w:eastAsia="微软雅黑"/>
          <w:b w:val="0"/>
          <w:sz w:val="20"/>
        </w:rPr>
        <w:t>交接时移交：在办清单、期限清单、外部律师与报价、印章/档案位置、未结争议、预算余额和例外批准。只交文件不交背景，等于没有交接。</w:t>
      </w:r>
    </w:p>
    <w:p>
      <w:pPr>
        <w:pStyle w:val="Heading1"/>
        <w:spacing w:before="240" w:after="80"/>
      </w:pPr>
      <w:r>
        <w:rPr>
          <w:rFonts w:ascii="微软雅黑" w:hAnsi="微软雅黑" w:eastAsia="微软雅黑"/>
          <w:b/>
          <w:color w:val="1F3864"/>
          <w:sz w:val="28"/>
        </w:rPr>
        <w:t>八、适用边界</w:t>
      </w:r>
    </w:p>
    <w:p>
      <w:pPr>
        <w:pStyle w:val="ListBullet"/>
        <w:spacing w:after="60" w:line="288" w:lineRule="auto"/>
      </w:pPr>
      <w:r>
        <w:rPr>
          <w:rFonts w:ascii="微软雅黑" w:hAnsi="微软雅黑" w:eastAsia="微软雅黑"/>
          <w:sz w:val="21"/>
        </w:rPr>
        <w:t>本文件是管理与授权模板，不是法律意见；具体签署权限以本司章程、决议、授权委托书和制度为准。</w:t>
      </w:r>
    </w:p>
    <w:p>
      <w:pPr>
        <w:pStyle w:val="ListBullet"/>
        <w:spacing w:after="60" w:line="288" w:lineRule="auto"/>
      </w:pPr>
      <w:r>
        <w:rPr>
          <w:rFonts w:ascii="微软雅黑" w:hAnsi="微软雅黑" w:eastAsia="微软雅黑"/>
          <w:sz w:val="21"/>
        </w:rPr>
        <w:t>金额档位、角色分工和审批人全部为模拟示例，不代表任何真实公司的薪酬、职级或授权水平。</w:t>
      </w:r>
    </w:p>
    <w:p>
      <w:pPr>
        <w:pStyle w:val="ListBullet"/>
        <w:spacing w:after="60" w:line="288" w:lineRule="auto"/>
      </w:pPr>
      <w:r>
        <w:rPr>
          <w:rFonts w:ascii="微软雅黑" w:hAnsi="微软雅黑" w:eastAsia="微软雅黑"/>
          <w:sz w:val="21"/>
        </w:rPr>
        <w:t>不适用于跨国集团、多法域、上市公司或金融机构的专项授权；这些场景需叠加当地法律、监管和集团制度。</w:t>
      </w:r>
    </w:p>
    <w:p>
      <w:pPr>
        <w:pStyle w:val="ListBullet"/>
        <w:spacing w:after="60" w:line="288" w:lineRule="auto"/>
      </w:pPr>
      <w:r>
        <w:rPr>
          <w:rFonts w:ascii="微软雅黑" w:hAnsi="微软雅黑" w:eastAsia="微软雅黑"/>
          <w:sz w:val="21"/>
        </w:rPr>
        <w:t>指标和台账用于改进流程，不直接作为个人绩效考核、晋升或惩罚依据。</w:t>
      </w:r>
    </w:p>
    <w:p>
      <w:pPr>
        <w:pStyle w:val="ListBullet"/>
        <w:spacing w:after="60" w:line="288" w:lineRule="auto"/>
      </w:pPr>
      <w:r>
        <w:rPr>
          <w:rFonts w:ascii="微软雅黑" w:hAnsi="微软雅黑" w:eastAsia="微软雅黑"/>
          <w:sz w:val="21"/>
        </w:rPr>
        <w:t>涉及客户名称、员工信息、争议细节的材料，共享前应脱敏，并遵守保密与个人信息保护要求。</w:t>
      </w:r>
    </w:p>
    <w:p>
      <w:r>
        <w:t>法源核对（2026-10-29）：《民法典》第61、162、165条，代表权、代理权限及书面授权；https://www.court.gov.cn/zixun/xiangqing/233181.html</w:t>
      </w:r>
    </w:p>
    <w:p>
      <w:r>
        <w:t>《民事诉讼法》（2023年修正）第61、62条，工作人员可受托代理，诉讼中和解等须特别授权；https://cicc.court.gov.cn/html/1/218/62/83/443.html</w:t>
      </w:r>
    </w:p>
    <w:p>
      <w:r>
        <w:t>本司采用记录：适用主体________；生效日期________；批准人________；复核人________；授权依据/有效期________。</w:t>
      </w:r>
    </w:p>
    <w:p>
      <w:pPr>
        <w:pStyle w:val="Heading1"/>
        <w:spacing w:before="240" w:after="80"/>
      </w:pPr>
      <w:r>
        <w:rPr>
          <w:rFonts w:ascii="微软雅黑" w:hAnsi="微软雅黑" w:eastAsia="微软雅黑"/>
          <w:b/>
          <w:color w:val="1F3864"/>
          <w:sz w:val="28"/>
        </w:rPr>
        <w:t>九、版本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137"/>
        <w:gridCol w:w="3137"/>
        <w:gridCol w:w="3137"/>
      </w:tblGrid>
      <w:tr>
        <w:trPr>
          <w:tblHeader w:val="true"/>
          <w:cantSplit/>
          <w:tblHeader/>
        </w:trPr>
        <w:tc>
          <w:tcPr>
            <w:tcW w:type="dxa" w:w="1134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版本</w:t>
            </w:r>
          </w:p>
        </w:tc>
        <w:tc>
          <w:tcPr>
            <w:tcW w:type="dxa" w:w="1701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6463"/>
            <w:vAlign w:val="center"/>
            <w:shd w:val="clear" w:color="auto" w:fill="1F386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变更</w:t>
            </w:r>
          </w:p>
        </w:tc>
      </w:tr>
      <w:tr>
        <w:trPr>
          <w:cantSplit/>
        </w:trPr>
        <w:tc>
          <w:tcPr>
            <w:tcW w:type="dxa" w:w="1134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v0.1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2026-10-29</w:t>
            </w:r>
          </w:p>
        </w:tc>
        <w:tc>
          <w:tcPr>
            <w:tcW w:type="dxa" w:w="6463"/>
            <w:vAlign w:val="center"/>
          </w:tcPr>
          <w:p>
            <w:pPr>
              <w:jc w:val="left"/>
            </w:pPr>
            <w:r>
              <w:rPr>
                <w:rFonts w:ascii="微软雅黑" w:hAnsi="微软雅黑" w:eastAsia="微软雅黑"/>
                <w:sz w:val="18"/>
              </w:rPr>
              <w:t>首版：角色与备份、分工矩阵、模拟授权额度、1—2 人兼任、升级与记录要求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color w:val="595959"/>
        <w:sz w:val="16"/>
      </w:rPr>
      <w:t>澄棂科技（虚构）｜三人法务部分工与授权模板 v0.1｜模拟示例，不构成法律意见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2026-10-29T00:00:00Z</dcterms:created>
  <dcterms:modified xsi:type="dcterms:W3CDTF">2026-10-29T00:00:00Z</dcterms:modified>
  <cp:category/>
</cp:coreProperties>
</file>