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40"/>
        <w:jc w:val="center"/>
      </w:pPr>
      <w:r>
        <w:rPr>
          <w:rFonts w:ascii="Times New Roman" w:hAnsi="Times New Roman" w:eastAsia="黑体" w:cs="Times New Roman"/>
          <w:b/>
          <w:color w:val="1F2937"/>
          <w:sz w:val="44"/>
        </w:rPr>
        <w:t>开源软件引入与发布审批表</w:t>
      </w:r>
    </w:p>
    <w:p>
      <w:pPr>
        <w:spacing w:after="200"/>
        <w:jc w:val="center"/>
      </w:pPr>
      <w:r>
        <w:rPr>
          <w:rFonts w:ascii="Arial" w:hAnsi="Arial" w:eastAsia="黑体" w:cs="Arial"/>
          <w:color w:val="5B6573"/>
          <w:sz w:val="20"/>
        </w:rPr>
        <w:t>Open Source Introduction &amp; Release Approval Form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7143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143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9"/>
              </w:rPr>
              <w:t>内容</w:t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文档编号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  <w:t>OS-APR-TEMPLATE-v0.2</w:t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版本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  <w:t>v0.2（替代 v0.1）</w:t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发布日期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  <w:t>2026-10-29</w:t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适用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  <w:t>开源组件的引入、变更、发布审批；含 Qt／PySide6 专项</w:t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关联文件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  <w:t>SBOM 台账 v0.2；开源发布与网络服务核对清单 v0.1</w:t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维护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>
              <w:t>法务／研发共同维护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</w:r>
          </w:p>
        </w:tc>
      </w:tr>
      <w:tr>
        <w:trPr>
          <w:cantSplit/>
          <w:trHeight w:val="351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9"/>
              </w:rPr>
              <w:t>状态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9"/>
              </w:rPr>
              <w:t>模板，可复制后按公司实际调整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使用前必读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411"/>
      </w:tblGrid>
      <w:tr>
        <w:tc>
          <w:tcPr>
            <w:tcW w:type="dxa" w:w="9411"/>
            <w:shd w:val="clear" w:color="auto" w:fill="FBF7EF"/>
          </w:tcPr>
          <w:p>
            <w:pPr>
              <w:spacing w:before="20" w:after="40" w:line="288" w:lineRule="auto"/>
            </w:pPr>
            <w:r/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1. 本表用于记录事实、条款索引、判断和证据，不构成法律意见。许可证解释、衍生作品范围和合同冲突应由律师结合具体事实判断。</w:t>
            </w:r>
          </w:p>
          <w:p>
            <w:pPr>
              <w:spacing w:before="20" w:after="40" w:line="288" w:lineRule="auto"/>
            </w:pPr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2. 填写顺序：1 基本登记 → 2 授权识别 → 3 使用事实 → 4 义务分析 → 5 Qt 专项（如适用）→ 6 审批与验收 → 7 变更复评。</w:t>
            </w:r>
          </w:p>
          <w:p>
            <w:pPr>
              <w:spacing w:before="20" w:after="40" w:line="288" w:lineRule="auto"/>
            </w:pPr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3. 「未知」是待查事实，不是法律结论；无法确认时写「待查」并说明下一步、责任人和期限，不能直接填「通过」。</w:t>
            </w:r>
          </w:p>
          <w:p>
            <w:pPr>
              <w:spacing w:before="20" w:after="40" w:line="288" w:lineRule="auto"/>
            </w:pPr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4. 「附条件通过」必须在第 6 部分列出未完成条件、责任人、期限和验证方式，并在发布清单中逐条关闭后才能发布。</w:t>
            </w:r>
          </w:p>
          <w:p>
            <w:pPr>
              <w:spacing w:before="20" w:after="40" w:line="288" w:lineRule="auto"/>
            </w:pPr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5. 签字和实际审批日期由公司授权人员手签、填写；本模板附带的四例全部为模拟，签字和日期留空。</w:t>
            </w:r>
          </w:p>
          <w:p>
            <w:pPr>
              <w:spacing w:before="20" w:after="40" w:line="288" w:lineRule="auto"/>
            </w:pPr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6. 本表通过组件 ID 关联 SBOM，通过审批单 ID 回填 SBOM，通过产品版本关联发布清单。</w:t>
            </w:r>
          </w:p>
          <w:p>
            <w:pPr>
              <w:spacing w:before="20" w:after="40" w:line="288" w:lineRule="auto"/>
            </w:pPr>
            <w:r>
              <w:rPr>
                <w:rFonts w:ascii="Times New Roman" w:hAnsi="Times New Roman" w:eastAsia="宋体" w:cs="Times New Roman"/>
                <w:color w:val="1F2937"/>
                <w:sz w:val="18"/>
              </w:rPr>
              <w:t>7. 字段留空表示尚未填写，不表示「不适用」；确不适用时请写「不适用」并说明理由。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0 关联索引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3402"/>
        <w:gridCol w:w="3742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关联项</w:t>
            </w:r>
          </w:p>
        </w:tc>
        <w:tc>
          <w:tcPr>
            <w:tcW w:type="dxa" w:w="340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编号／版本</w:t>
            </w:r>
          </w:p>
        </w:tc>
        <w:tc>
          <w:tcPr>
            <w:tcW w:type="dxa" w:w="374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  <w:trHeight w:val="397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审批单 ID</w:t>
            </w:r>
          </w:p>
        </w:tc>
        <w:tc>
          <w:tcPr>
            <w:tcW w:type="dxa" w:w="340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74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APR-&lt;产品简称&gt;-&lt;产品版本&gt;-&lt;序号&gt;</w:t>
            </w:r>
          </w:p>
        </w:tc>
      </w:tr>
      <w:tr>
        <w:trPr>
          <w:cantSplit/>
          <w:trHeight w:val="397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SBOM 版本</w:t>
            </w:r>
          </w:p>
        </w:tc>
        <w:tc>
          <w:tcPr>
            <w:tcW w:type="dxa" w:w="340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74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SBOM-&lt;产品简称&gt;-&lt;产品版本&gt;-&lt;修订号&gt;</w:t>
            </w:r>
          </w:p>
        </w:tc>
      </w:tr>
      <w:tr>
        <w:trPr>
          <w:cantSplit/>
          <w:trHeight w:val="397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产品版本</w:t>
            </w:r>
          </w:p>
        </w:tc>
        <w:tc>
          <w:tcPr>
            <w:tcW w:type="dxa" w:w="340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74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本次审批对应的对外版本或部署版本</w:t>
            </w:r>
          </w:p>
        </w:tc>
      </w:tr>
      <w:tr>
        <w:trPr>
          <w:cantSplit/>
          <w:trHeight w:val="397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发布清单</w:t>
            </w:r>
          </w:p>
        </w:tc>
        <w:tc>
          <w:tcPr>
            <w:tcW w:type="dxa" w:w="340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74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REL-&lt;产品简称&gt;-&lt;产品版本&gt;</w:t>
            </w:r>
          </w:p>
        </w:tc>
      </w:tr>
      <w:tr>
        <w:trPr>
          <w:cantSplit/>
          <w:trHeight w:val="397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关联审批／变更单</w:t>
            </w:r>
          </w:p>
        </w:tc>
        <w:tc>
          <w:tcPr>
            <w:tcW w:type="dxa" w:w="340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74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同一组件其他版本、模块或使用方式的审批</w:t>
            </w:r>
          </w:p>
        </w:tc>
      </w:tr>
    </w:tbl>
    <w:p>
      <w:pPr>
        <w:keepNext/>
        <w:pageBreakBefore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1 基本登记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登记组件的身份、来源和依赖关系。一个审批单可以覆盖同一使用方式下的一组组件，但必须逐项列明组件 ID。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4082"/>
        <w:gridCol w:w="3061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408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填写内容</w:t>
            </w:r>
          </w:p>
        </w:tc>
        <w:tc>
          <w:tcPr>
            <w:tcW w:type="dxa" w:w="30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填写说明／示例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1.1 审批单 ID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APR-&lt;产品简称&gt;-&lt;产品版本&gt;-&lt;两位序号&gt;；全公司唯一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1.2 组件 ID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CMP-&lt;产品简称&gt;-&lt;四位序号&gt;；同一组件换版本保留 ID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1.3 组件名称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上游正式名称，避免只写内部别名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1.4 精确版本／提交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语义版本＋commit/tag；禁止只写「最新版」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1.5 上游及下载来源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仓库 URL、包管理器坐标、发行渠道、tag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1.6 包校验值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SHA-256；商业包同时记录订单或授权编号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1.7 依赖关系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直接依赖／传递依赖；传递依赖写明引入路径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1.8 使用项目／产品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项目名、产品线、内部系统名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1.9 产品版本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本次审批对应的发布版本或部署版本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1.10 交付对象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客户／关联公司／外包商／公众／仅同一法人内部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1.11 使用环境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客户端／服务端／设备／CI／开发工具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1.12 申请人／日期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姓名、部门、申请日期</w:t>
            </w:r>
          </w:p>
        </w:tc>
      </w:tr>
      <w:tr>
        <w:trPr>
          <w:cantSplit/>
          <w:trHeight w:val="386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1.13 关联审批／变更单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同组件其他版本、模块或使用方式的审批单号</w:t>
            </w:r>
          </w:p>
        </w:tc>
      </w:tr>
    </w:tbl>
    <w:p>
      <w:pPr>
        <w:keepNext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2 授权识别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以许可证原文为准，记录包内文本、上游仓库和官方说明的核对结果；冲突时不自行择一。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4082"/>
        <w:gridCol w:w="3061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408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填写内容</w:t>
            </w:r>
          </w:p>
        </w:tc>
        <w:tc>
          <w:tcPr>
            <w:tcW w:type="dxa" w:w="30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填写说明／示例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2.1 上游许可表达式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照录包内或上游声明，含版本与 OR／AND，例如 LGPL-3.0-only OR GPL-3.0-only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2.2 许可证文本位置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包内 LICENSE／COPYING、文件头、NOTICE、上游 tag、官网页面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2.3 所选许可路径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>
              <w:t>OR 时写明实际选择；AND 时须同时满足各组成许可；含 -or-later 或 WITH 例外时保留完整表达式及依据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2.4 商业授权证据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订单、合同、授权范围、覆盖版本与模块、期限；无则写「无」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2.5 例外与附加条款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链接例外、GPL 例外、字体／图标例外、第三方条款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2.6 冲突或缺失项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包内文本与上游／官网／合同不一致之处；缺失的许可证文件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2.7 核对来源编号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填写正文来源记录编号，如 S01、S04、S07；可多选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2.8 核对日期与人员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实际打开官方文本的日期；不要预填或倒填</w:t>
            </w:r>
          </w:p>
        </w:tc>
      </w:tr>
    </w:tbl>
    <w:p>
      <w:pPr>
        <w:keepNext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3 使用事实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交付、修改、网络交互可以同时成立。按实际行为填写，不用「内部／分发」二选一。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4082"/>
        <w:gridCol w:w="3061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408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填写内容</w:t>
            </w:r>
          </w:p>
        </w:tc>
        <w:tc>
          <w:tcPr>
            <w:tcW w:type="dxa" w:w="30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填写说明／示例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3.1 源码交付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是／否／部分；交付形式、接收主体、交付渠道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3.2 二进制或产物交付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安装包、容器镜像、SDK、设备、浏览器脚本、WASM、源码包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3.3 接收主体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客户、关联公司、外包商、公众、仅同一法人内部；写明法人边界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3.4 客户端／服务端／设备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组件运行位置；是否随客户端分发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3.5 修改内容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修改的文件、模块、日期；是否形成衍生作品的分析依据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3.6 远程网络交互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是／否／不确定；交互对象（客户、员工、API 调用方）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3.7 组合／打包方式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独立进程、IPC、动态链接、静态链接、源码嵌入、聚合、容器镜像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3.8 实际调用／链接关系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调用方向、进程边界、是否共享地址空间、是否随包携带库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3.9 浏览器端代码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是否含组件代码、WASM、SDK；是否随网页向用户交付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3.10 输出／数据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输出是否包含组件代码或受许可约束的内容；单独说明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3.11 合同与技术限制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EULA、应用商店规则、DRM、签名启动、只读固件是否限制修改或重链接</w:t>
            </w:r>
          </w:p>
        </w:tc>
      </w:tr>
    </w:tbl>
    <w:p>
      <w:pPr>
        <w:keepNext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4 义务分析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先写触发条件，再写受约束范围和履行动作。不要用「传染性」「宽松许可无义务」等标签代替分析。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4082"/>
        <w:gridCol w:w="3061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408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填写内容</w:t>
            </w:r>
          </w:p>
        </w:tc>
        <w:tc>
          <w:tcPr>
            <w:tcW w:type="dxa" w:w="30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填写说明／示例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4.1 触发条件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交付副本／修改／远程网络交互／无；逐项写明事实依据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4.2 受许可约束范围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组件本身／修改版本／链接或组合作品／网络服务对应源码／不适用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4.3 许可证与 NOTICE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需附的许可证文本、版权声明、NOTICE、第三方声明及放置位置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4.4 对应源码及履行方式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源码范围、交付方式（随附／书面要约／网络服务器）、版本对应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4.5 库替换／重链接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LGPL 专项：共享库机制、重链接材料、替换验证、安装信息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4.6 合同／技术限制检查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EULA、商店规则、DRM、签名、固件是否与许可证权利冲突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4.7 专利／商标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Apache §3 专利终止、§6 商标边界；GPL 专利条款；不得作背书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4.8 未完成条件与验证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逐条写条件、责任人、期限、验证方式；附条件通过必填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4.9 结论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通过／附条件通过／拒绝／需升级审查；不得只写「已审批」</w:t>
            </w:r>
          </w:p>
        </w:tc>
      </w:tr>
      <w:tr>
        <w:trPr>
          <w:cantSplit/>
          <w:trHeight w:val="425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4.10 理由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把事实、条款和结论连起来；写明不确定项和假设</w:t>
            </w:r>
          </w:p>
        </w:tc>
      </w:tr>
    </w:tbl>
    <w:p>
      <w:pPr>
        <w:keepNext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5 Qt 专项（使用 Qt／PySide6 时填写）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Qt 不是单一许可证。逐模块核对，不以安装包名称代替模块许可。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4082"/>
        <w:gridCol w:w="3061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408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填写内容</w:t>
            </w:r>
          </w:p>
        </w:tc>
        <w:tc>
          <w:tcPr>
            <w:tcW w:type="dxa" w:w="30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填写说明／示例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5.1 是否使用 Qt／PySide6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是／否；如否，本节写「不适用」并说明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5.2 Qt 版本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精确到 6.x.y；LTS 或商业版另行注明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5.3 实际模块清单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逐项列出模块名、用途、是否随产品分发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5.4 社区／商业包来源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pip 社区包／Qt Account／Qt Installer／qtpip；记录包文件名与校验值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5.5 各模块许可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LGPL-3.0／GPL-3.0／Commercial；注明依据页面与版本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5.6 GPL-only 模块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有／无；有则说明对应用整体许可的影响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5.7 第三方依赖及许可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按 Qt for Python 第三方许可页面和包内 NOTICE 逐项记录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5.8 商业授权覆盖范围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ADP／ADE／DCP／DCE；覆盖版本、模块、期限；是否含 OPC UA、MQTT、CoAP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5.9 安装方式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是否误用 pip install pyside6 安装社区版；商业包获取路径</w:t>
            </w:r>
          </w:p>
        </w:tc>
      </w:tr>
      <w:tr>
        <w:trPr>
          <w:cantSplit/>
          <w:trHeight w:val="408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5.10 结论与备注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LGPL 附条件／GPL／商业路径；仍需处理的第三方或合同事项</w:t>
            </w:r>
          </w:p>
        </w:tc>
      </w:tr>
    </w:tbl>
    <w:p>
      <w:pPr>
        <w:keepNext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6 审批与验收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结论为「附条件通过」时，发布条件必须逐条列明并验证；未完成条件未关闭前不得发布。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4082"/>
        <w:gridCol w:w="3061"/>
      </w:tblGrid>
      <w:tr>
        <w:trPr>
          <w:tblHeader/>
          <w:cantSplit/>
        </w:trPr>
        <w:tc>
          <w:tcPr>
            <w:tcW w:type="dxa" w:w="226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408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填写内容</w:t>
            </w:r>
          </w:p>
        </w:tc>
        <w:tc>
          <w:tcPr>
            <w:tcW w:type="dxa" w:w="30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6.1 审批结论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通过／附条件通过／拒绝／需升级审查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6.2 结论理由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对应 4.1—4.10 的事实和条款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6.3 未完成条件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逐条编号；写明责任人、期限、验证方式和证据位置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6.4 研发验证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构建、安装包内容、替换库启动、重链接、源码包版本对应等实际结果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6.5 法务复核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条款核对、声明文本、合同冲突、待查事项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6.6 业务决定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是否接受条件、替代方案、商业许可采购决定</w:t>
            </w:r>
          </w:p>
        </w:tc>
      </w:tr>
      <w:tr>
        <w:trPr>
          <w:cantSplit/>
          <w:trHeight w:val="454"/>
        </w:trPr>
        <w:tc>
          <w:tcPr>
            <w:tcW w:type="dxa" w:w="226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6.7 证据位置</w:t>
            </w:r>
          </w:p>
        </w:tc>
        <w:tc>
          <w:tcPr>
            <w:tcW w:type="dxa" w:w="408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306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归档路径、仓库目录、发布清单编号；不要只写「见邮件」</w:t>
            </w:r>
          </w:p>
        </w:tc>
      </w:tr>
    </w:tbl>
    <w:p>
      <w:pPr>
        <w:keepNext/>
        <w:pageBreakBefore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签字与日期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608"/>
        <w:gridCol w:w="4762"/>
        <w:gridCol w:w="2041"/>
      </w:tblGrid>
      <w:tr>
        <w:trPr>
          <w:tblHeader/>
          <w:cantSplit/>
        </w:trPr>
        <w:tc>
          <w:tcPr>
            <w:tcW w:type="dxa" w:w="260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4762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意见／签字</w:t>
            </w:r>
          </w:p>
        </w:tc>
        <w:tc>
          <w:tcPr>
            <w:tcW w:type="dxa" w:w="204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日期</w:t>
            </w:r>
          </w:p>
        </w:tc>
      </w:tr>
      <w:tr>
        <w:trPr>
          <w:cantSplit/>
          <w:trHeight w:val="765"/>
        </w:trPr>
        <w:tc>
          <w:tcPr>
            <w:tcW w:type="dxa" w:w="260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研发负责人</w:t>
            </w:r>
          </w:p>
        </w:tc>
        <w:tc>
          <w:tcPr>
            <w:tcW w:type="dxa" w:w="476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04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  <w:tr>
        <w:trPr>
          <w:cantSplit/>
          <w:trHeight w:val="765"/>
        </w:trPr>
        <w:tc>
          <w:tcPr>
            <w:tcW w:type="dxa" w:w="260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法务复核</w:t>
            </w:r>
          </w:p>
        </w:tc>
        <w:tc>
          <w:tcPr>
            <w:tcW w:type="dxa" w:w="476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04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  <w:tr>
        <w:trPr>
          <w:cantSplit/>
          <w:trHeight w:val="765"/>
        </w:trPr>
        <w:tc>
          <w:tcPr>
            <w:tcW w:type="dxa" w:w="260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业务／产品负责人</w:t>
            </w:r>
          </w:p>
        </w:tc>
        <w:tc>
          <w:tcPr>
            <w:tcW w:type="dxa" w:w="476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04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  <w:tr>
        <w:trPr>
          <w:cantSplit/>
          <w:trHeight w:val="765"/>
        </w:trPr>
        <w:tc>
          <w:tcPr>
            <w:tcW w:type="dxa" w:w="260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CTO／授权人（如适用）</w:t>
            </w:r>
          </w:p>
        </w:tc>
        <w:tc>
          <w:tcPr>
            <w:tcW w:type="dxa" w:w="4762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041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</w:tbl>
    <w:p>
      <w:pPr>
        <w:spacing w:before="60" w:after="8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7"/>
        </w:rPr>
        <w:t>签字栏由公司授权人员手签；日期为实际审批日期。模板和模拟示例均留空。</w:t>
      </w:r>
    </w:p>
    <w:p>
      <w:pPr>
        <w:keepNext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7 变更复评</w:t>
      </w:r>
    </w:p>
    <w:p>
      <w:pPr>
        <w:spacing w:before="0" w:after="10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9"/>
        </w:rPr>
        <w:t>出现下列变化时重新评估；不以固定日历复查替代变更触发。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48"/>
        <w:gridCol w:w="1814"/>
        <w:gridCol w:w="4649"/>
      </w:tblGrid>
      <w:tr>
        <w:trPr>
          <w:tblHeader/>
          <w:cantSplit/>
        </w:trPr>
        <w:tc>
          <w:tcPr>
            <w:tcW w:type="dxa" w:w="294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变化类型</w:t>
            </w:r>
          </w:p>
        </w:tc>
        <w:tc>
          <w:tcPr>
            <w:tcW w:type="dxa" w:w="1814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是否重新评估</w:t>
            </w:r>
          </w:p>
        </w:tc>
        <w:tc>
          <w:tcPr>
            <w:tcW w:type="dxa" w:w="4649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处理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组件版本或提交升级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核对新版本许可证、NOTICE、源码和修改；更新 SBOM 行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模块增减或启用新功能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重新核对模块许可，尤其是 Qt GPL-only 模块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修改组件或合并代码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记录修改文件、日期和对外说明；判断是否交付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交付对象变化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从内部转为客户、关联公司、外包商或公众时重新分析分发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部署方式或网络交互变化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新增远程访问、浏览器端交付、镜像或 SDK 时重新分析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授权路径变化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切换 LGPL／GPL／商业许可时更新覆盖范围和证据</w:t>
            </w:r>
          </w:p>
        </w:tc>
      </w:tr>
      <w:tr>
        <w:trPr>
          <w:cantSplit/>
          <w:trHeight w:val="351"/>
        </w:trPr>
        <w:tc>
          <w:tcPr>
            <w:tcW w:type="dxa" w:w="2948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上游许可或 NOTICE 变化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是</w:t>
            </w:r>
          </w:p>
        </w:tc>
        <w:tc>
          <w:tcPr>
            <w:tcW w:type="dxa" w:w="4649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重新取得官方文本，登记差异并升级审查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复评记录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474"/>
        <w:gridCol w:w="2494"/>
        <w:gridCol w:w="2948"/>
        <w:gridCol w:w="1474"/>
        <w:gridCol w:w="1020"/>
      </w:tblGrid>
      <w:tr>
        <w:trPr>
          <w:tblHeader/>
          <w:cantSplit/>
        </w:trPr>
        <w:tc>
          <w:tcPr>
            <w:tcW w:type="dxa" w:w="1474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复评日期</w:t>
            </w:r>
          </w:p>
        </w:tc>
        <w:tc>
          <w:tcPr>
            <w:tcW w:type="dxa" w:w="2494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变更内容</w:t>
            </w:r>
          </w:p>
        </w:tc>
        <w:tc>
          <w:tcPr>
            <w:tcW w:type="dxa" w:w="2948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影响与结论</w:t>
            </w:r>
          </w:p>
        </w:tc>
        <w:tc>
          <w:tcPr>
            <w:tcW w:type="dxa" w:w="1474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新审批单</w:t>
            </w:r>
          </w:p>
        </w:tc>
        <w:tc>
          <w:tcPr>
            <w:tcW w:type="dxa" w:w="1020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复评人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49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948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147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102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49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948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147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102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49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2948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147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  <w:tc>
          <w:tcPr>
            <w:tcW w:type="dxa" w:w="102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</w:r>
          </w:p>
        </w:tc>
      </w:tr>
    </w:tbl>
    <w:p>
      <w:pPr>
        <w:keepNext/>
        <w:pageBreakBefore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8 模拟附录：EX-01—EX-04</w:t>
      </w:r>
    </w:p>
    <w:p>
      <w:pPr>
        <w:spacing w:before="0" w:after="160" w:line="312" w:lineRule="auto"/>
      </w:pPr>
      <w:r>
        <w:rPr>
          <w:rFonts w:ascii="Times New Roman" w:hAnsi="Times New Roman" w:eastAsia="宋体" w:cs="Times New Roman"/>
          <w:b w:val="0"/>
          <w:color w:val="1F2937"/>
          <w:sz w:val="19"/>
        </w:rPr>
        <w:t>以下四例全部为模拟，不对应任何真实公司、产品、客户或交易。业务主体、产品和使用事实为虚构；EX-03 使用真实 Qt／PySide6 名称和版本作为假设选型，未检查实际安装包或执行替换库测试，仅用于演示判断路径、义务分析和证据要求。四例的签字和实际审批日期留空，不得作为真实审批记录使用。</w:t>
      </w:r>
    </w:p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EX-01 Apache-2.0 组件随闭源安装包分发（模拟）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041"/>
        <w:gridCol w:w="7370"/>
      </w:tblGrid>
      <w:tr>
        <w:trPr>
          <w:tblHeader/>
          <w:cantSplit/>
        </w:trPr>
        <w:tc>
          <w:tcPr>
            <w:tcW w:type="dxa" w:w="204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370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模拟声明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【模拟】虚构产品、组件、主体和版本；不对应真实交易。签字与日期留空。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登记字段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审批单 APR-XT-3.2-01；组件 CMP-XT-0001；产品版本 3.2；组件版本 4.1.0；上游 example.invalid/librender tag v4.1.0；依赖关系为直接依赖；包校验值以模拟值代替，发布时填实际 SHA-256。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固定事实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模拟产品「星图桌面端 3.2」包含 librender 4.1.0，许可证 Apache-2.0；修改 2 个源文件；上游分发含 NOTICE；组件随闭源安装包交付客户；无远程网络交互。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判断树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交付副本＝是（安装包）；修改＝是；网络交互＝否；组合方式＝随安装包整体分发（组件与自有代码分离打包）。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授权识别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包内 LICENSE 为 Apache-2.0；上游仓库 tag v4.1.0 的 LICENSE、NOTICE 与包内一致；无商业许可；核对来源 S01，核对日期 2026-10-29（官方条款核对；组件包内容为模拟假设）。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义务与条款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Apache-2.0 §4(a) 向接收方提供许可证副本；§4(b) 修改文件加显著变更标识；§4(c) 源码形式保留相关版权、专利、商标、署名声明；§4(d) 在 NOTICE 或随附文档中包含上游 NOTICE 的相关署名；§3 就 Work 或其并入的贡献主张直接或帮助侵害专利而起诉（含反诉）时，该 Work 的专利许可终止；§6 除描述来源和复制 NOTICE 的合理惯常用途外不授予商标权。不要求公开衍生作品源码。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履行动作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安装包放置 LICENSES/Apache-2.0.txt；生成 NOTICE 与 THIRD-PARTY-NOTICES；修改文件头写明修改事实和日期；产品「关于」页展示第三方声明；不使用上游商标作背书。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结论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附条件通过（发布目录核验完成后方可发布）。闭源分发与 Apache-2.0 可以并存，但许可证副本、修改标识和 NOTICE 必须逐项落实。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发布条件与未完成项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发布前确认 NOTICE 含上游相关段落、修改文件有标识、安装包内许可证可读；由研发提供发布目录检查记录，法务复核声明文本。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证据与验收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模拟发布目录文件清单、NOTICE 文本、修改文件 diff、安装包内 LICENSES 目录截图或校验记录。仅 SBOM 标「已审批」不能作为验收。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变体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若组件只在同一法人内部使用、不向其他主体交付副本，§4 分发条件不触发，但仍登记组件和修改；一旦随安装包交付客户，重新进入分发分析。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对应材料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SBOM「四例示范」EX-01；发布清单 3.1、3.2、6.2。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审批签字／日期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签字：（模拟，留空）　　　　日期：（模拟，留空）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EX-02 GPLv3 工具仅在同一法人内部修改运行（模拟）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041"/>
        <w:gridCol w:w="7370"/>
      </w:tblGrid>
      <w:tr>
        <w:trPr>
          <w:tblHeader/>
          <w:cantSplit/>
        </w:trPr>
        <w:tc>
          <w:tcPr>
            <w:tcW w:type="dxa" w:w="204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370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模拟声明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【模拟】虚构公司、工具、版本和部署环境；不对应真实交易。签字与日期留空。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登记字段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审批单 APR-QH-2.4-01；组件 CMP-QH-0007；产品版本 2.4；组件版本 convd 2.4；上游 example.invalid/convd tag v2.4；依赖关系为直接依赖；包校验值以模拟值代替。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固定事实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模拟公司「青禾科技」内部使用 GPLv3 工具 convd 2.4，修改配置解析模块，仅在公司同一法人自有服务器本机／批处理运行；不向客户、关联公司、外包商交付副本；无远程交互。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判断树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交付副本＝否；修改＝是；网络交互＝否（假设本机／批处理运行，无远程交互）；组合方式＝内部部署。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授权识别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包内 COPYING 为 GPLv3；上游 tag v2.4 一致；无商业许可；核对来源 S02，核对日期 2026-10-29（官方条款核对；组件包内容为模拟假设）。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义务与条款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GPLv3 §0 的 conveying 要求使其他主体能够制作或接收副本；同一法人内部运行和修改，没有对外交付副本，通常不构成 conveying，§4—§6 的分发义务不触发；GPLv3 不要求把内部修改公开给公众。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履行动作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登记组件与修改；记录使用主体范围和部署位置；保留修改后的源码与构建脚本；审批表明确「不对外交付」；向客户交付镜像或关联公司取用前重新审批。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结论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通过（仅限同一法人内部使用），附主体边界条件。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发布条件与未完成项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确认无客户副本、无外部下载入口；主体边界说明和部署记录归档；出现对外交付时停止适用本结论。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证据与验收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内部部署记录、主体清单、修改文件清单、源码归档路径；验收时确认没有对外下载入口或客户副本。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变体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向客户交付包含该工具的容器镜像，即构成 conveying，须按 GPLv3 §4—§6 提供 Corresponding Source、许可证和修改标识；若换成 AGPLv3 并允许远程使用，还要检查 §13。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对应材料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SBOM「四例示范」EX-02；发布清单 1.2、2.1、4.1。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审批签字／日期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签字：（模拟，留空）　　　　日期：（模拟，留空）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EX-03 LGPLv3 库随闭源客户端动态链接交付（模拟）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041"/>
        <w:gridCol w:w="7370"/>
      </w:tblGrid>
      <w:tr>
        <w:trPr>
          <w:tblHeader/>
          <w:cantSplit/>
        </w:trPr>
        <w:tc>
          <w:tcPr>
            <w:tcW w:type="dxa" w:w="204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370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模拟声明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【模拟】业务产品和使用事实虚构；Qt／PySide6 名称和版本为真实选型引用，不表示已审计安装包或依赖。签字与日期留空。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登记字段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审批单 APR-BJ-5.0-03；组件 CMP-BJ-0012；产品版本 5.0；实际包 PySide6 6.8.3（Qt 6.8.3）；来源为社区版 pip 包；依赖关系为直接依赖；包校验值以模拟值代替。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固定事实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模拟产品「北极星客户端 5.0」闭源，随安装包交付 PySide6／Qt 6.8.3 中使用 LGPLv3 路径的模块，采用动态链接；未购买 Qt 商业许可；安装包带入若干第三方组件；无 AGPL 组件。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判断树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交付副本＝是（安装包）；修改＝否（Qt 库未修改）；网络交互＝否；组合方式＝动态链接＋随包分发共享库。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授权识别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假设选择社区版 LGPLv3；按 Qt 6.8 分支逐模块核对（S14）；第三方组件按 Qt for Python 第三方许可页面核对；核对来源 S04、S07、S08、S10、S14，核对日期 2026-10-29（官方条款核对；组件包内容为模拟假设）。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Qt 模块与包来源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示例模块 QtCore、QtGui、QtWidgets（均为 LGPLv3 路径）；社区版 PySide6 6.8.3 经 pip 安装；假设发布范围仅限前列模块；实际包中 GPL-only 模块及传递依赖仍待核验；第三方组件按 S10 逐项核对。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义务与条款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LGPLv3 §4：显著通知使用库并附 GPLv3、LGPLv3 文本；保留版权声明；按 §4(d)(1) 使用合适共享库机制，或按 §4(d)(0) 提供 Minimal Corresponding Source 与可重链接的 Corresponding Application Code；§4(e) 在 GPLv3 §6 要求时提供 Installation Information；随包分发库目标码时，按纳入的 GPLv3 §6 提供库的完整对应源码（即使未修改）；动态链接不免除该义务；不得限制修改库和为调试反向工程；EULA 和应用商店规则不得与 LGPL 冲突。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履行动作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安装包以独立共享库形式携带 Qt 库；附 LICENSES/LGPL-3.0.txt、LICENSES/GPL-3.0.txt 和第三方声明；提供 Qt／PySide6／Shiboken 随包库的对应版本源码包及修改（如有）；「关于」页显著说明；执行替换库后的启动验证；审查 EULA 中的反向工程和替换限制；逐模块确认无 GPL-only 模块。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结论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附条件通过。下列条件全部关闭后方可发布：替换库启动验证通过；源码包与运行版本对应；EULA 无冲突条款；无 GPL-only 模块；第三方声明完整。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发布条件与未完成项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① 替换为接口兼容的修改版 Qt 库并启动成功（研发，发布前）；② 源码包的版本／提交与运行版本对应，并记录 SHA-256（研发）；③ EULA 排除对 LGPL 库修改、替换及为调试该修改而反向工程的限制（法务）；④ 模块许可清单复核（法务＋研发）；⑤ PySide6／Shiboken 与实际带入第三方组件的源码、声明逐项核对（研发＋法务）。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证据与验收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安装包文件清单、替换启动日志、Qt／PySide6／Shiboken 随包库源码包及 SHA-256、EULA 红线对照、模块许可表、第三方声明。不能只写「动态链接即合规」。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变体（静态链接）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改为静态链接后，组合作品仍按 LGPLv3 §0、§4 分析，通常需按 §4(d)(0) 提供库的 Minimal Corresponding Source 和可重链接的应用代码／目标码，并在适用时提供安装信息；不能继续套用动态链接结论。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商业路径对照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如购买商业许可：商业包从 Qt Account、Qt Installer 或 qtpip 获取，不使用 pip install pyside6 社区版；ADP 不含 Qt OPC UA、Qt MQTT、Qt CoAP 的独立 wheel；商业授权覆盖范围内 LGPL 条件不再触发，但仍核对商业包来源、模块覆盖和第三方许可。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对应材料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SBOM「四例示范」EX-03；发布清单 4.1、4.2、5.1—5.3。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审批签字／日期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签字：（模拟，留空）　　　　日期：（模拟，留空）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 w:eastAsia="黑体" w:cs="Times New Roman"/>
          <w:b/>
          <w:color w:val="1F2937"/>
          <w:sz w:val="23"/>
        </w:rPr>
        <w:t>EX-04 修改 AGPLv3 网络服务并允许远程使用（模拟）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041"/>
        <w:gridCol w:w="7370"/>
      </w:tblGrid>
      <w:tr>
        <w:trPr>
          <w:tblHeader/>
          <w:cantSplit/>
        </w:trPr>
        <w:tc>
          <w:tcPr>
            <w:tcW w:type="dxa" w:w="204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370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模拟声明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【模拟】虚构产品、服务、组件和用户；不对应真实交易。签字与日期留空。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登记字段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审批单 APR-DC-3.1-02；组件 CMP-DC-0004；产品版本 3.1；组件版本 OpenMetricsHub 3.1；上游 example.invalid/openmetricshub tag v3.1；依赖关系为直接依赖；包校验值以模拟值代替。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固定事实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模拟产品「洞察查询服务 3.1」基于 AGPLv3 组件 OpenMetricsHub 3.1，修改数据接入和 API 模块，部署为网络服务；客户和内部员工均通过浏览器远程使用；不向用户交付服务端副本。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判断树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交付副本＝否（服务端不交付）；修改＝是；网络交互＝是（客户与内部员工均远程使用）；组合方式＝服务端部署＋浏览器访问。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授权识别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包内 LICENSE 为 AGPLv3；上游 tag v3.1 一致；核对来源 S06，核对日期 2026-10-29（官方条款核对；组件包内容为模拟假设）。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义务与条款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AGPLv3 §13：修改程序后，若版本支持远程网络交互，必须向所有远程交互用户显著提供获取对应源码的机会，从网络服务器免费提供，采用标准或惯常的复制方式；不以交付副本为前提；内部远程用户不能自动排除；对应源码包含修改版本及依 GPLv3 并入部分，并与实际运行版本对应。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履行动作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在登录页、页脚或 API 文档放置显著源码入口；源码从网络服务器免费下载，无需额外审批或付费；源码包与部署版本、提交号、构建产物对应；保留部署记录和版本标签；服务条款不得削减 AGPL 权利。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结论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附条件通过。条件：源码入口上线并对所有远程交互用户可访问；源码包对应运行版本；修改文件齐全；服务条款完成审查。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发布条件与未完成项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① 源码入口在登录页／页脚可见（产品，发布前）；② 所有远程交互用户下载测试通过，无需付费或另行审批（研发）；③ 源码包版本／提交与部署版本对应，并记录 SHA-256（研发）；④ 服务条款不含限制条款（法务）。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证据与验收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源码入口截图、远程用户可访问的下载 URL、源码包 SHA-256、部署提交号、修改文件清单。仅内部用户访问时也保留入口。受限服务可沿用登录权限，但每位远程交互用户均须能免费获取；不要求向全世界公开或匿名下载。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变体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>
              <w:t>若运行未修改的上游服务，§13 不因本次运行新增修改义务；保留已有源码入口；但仍分析是否交付副本、是否包含其他 AGPL 组件。若将 AGPLv3 与 GPLv3 代码组合，适用 §13 第二段的组合规则。</w:t>
            </w:r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对应材料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SBOM「四例示范」EX-04；发布清单 4.3、6.2。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7"/>
              </w:rPr>
              <w:t>审批签字／日期</w:t>
            </w:r>
          </w:p>
        </w:tc>
        <w:tc>
          <w:tcPr>
            <w:tcW w:type="dxa" w:w="7370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7"/>
              </w:rPr>
              <w:t>签字：（模拟，留空）　　　　日期：（模拟，留空）</w:t>
            </w:r>
          </w:p>
        </w:tc>
      </w:tr>
    </w:tbl>
    <w:p>
      <w:pPr>
        <w:keepNext/>
        <w:pageBreakBefore/>
        <w:spacing w:before="200" w:after="120"/>
        <w:pBdr>
          <w:bottom w:val="single" w:sz="8" w:space="3" w:color="8C2F2F"/>
        </w:pBdr>
      </w:pPr>
      <w:r>
        <w:rPr>
          <w:rFonts w:ascii="Times New Roman" w:hAnsi="Times New Roman" w:eastAsia="黑体" w:cs="Times New Roman"/>
          <w:b/>
          <w:color w:val="8C2F2F"/>
          <w:sz w:val="28"/>
        </w:rPr>
        <w:t>9 版本与维护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361"/>
        <w:gridCol w:w="1814"/>
        <w:gridCol w:w="6236"/>
      </w:tblGrid>
      <w:tr>
        <w:trPr>
          <w:tblHeader/>
          <w:cantSplit/>
        </w:trPr>
        <w:tc>
          <w:tcPr>
            <w:tcW w:type="dxa" w:w="1361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版本</w:t>
            </w:r>
          </w:p>
        </w:tc>
        <w:tc>
          <w:tcPr>
            <w:tcW w:type="dxa" w:w="1814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6236"/>
            <w:vAlign w:val="center"/>
            <w:shd w:val="clear" w:color="auto" w:fill="1F2937"/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color w:val="FFFFFF"/>
                <w:sz w:val="18"/>
              </w:rPr>
              <w:t>变更</w:t>
            </w:r>
          </w:p>
        </w:tc>
      </w:tr>
      <w:tr>
        <w:trPr>
          <w:cantSplit/>
          <w:trHeight w:val="454"/>
        </w:trPr>
        <w:tc>
          <w:tcPr>
            <w:tcW w:type="dxa" w:w="136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v0.2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2026-10-29</w:t>
            </w:r>
          </w:p>
        </w:tc>
        <w:tc>
          <w:tcPr>
            <w:tcW w:type="dxa" w:w="6236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重写字段与义务分析；新增授权识别、使用事实、Qt 专项、变更复评和四例模拟；删除旧版关于低风险免审批和按人日自动升级的概括。</w:t>
            </w:r>
          </w:p>
        </w:tc>
      </w:tr>
      <w:tr>
        <w:trPr>
          <w:cantSplit/>
          <w:trHeight w:val="454"/>
        </w:trPr>
        <w:tc>
          <w:tcPr>
            <w:tcW w:type="dxa" w:w="1361"/>
            <w:vAlign w:val="top"/>
            <w:shd w:val="clear" w:color="auto" w:fill="F2F4F7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/>
                <w:color w:val="1F2937"/>
                <w:sz w:val="18"/>
              </w:rPr>
              <w:t>v0.1</w:t>
            </w:r>
          </w:p>
        </w:tc>
        <w:tc>
          <w:tcPr>
            <w:tcW w:type="dxa" w:w="1814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2026-10-27</w:t>
            </w:r>
          </w:p>
        </w:tc>
        <w:tc>
          <w:tcPr>
            <w:tcW w:type="dxa" w:w="6236"/>
            <w:vAlign w:val="top"/>
          </w:tcPr>
          <w:p>
            <w:pPr>
              <w:spacing w:before="20" w:after="20" w:line="276" w:lineRule="auto"/>
            </w:pPr>
            <w:r/>
            <w:r>
              <w:rPr>
                <w:rFonts w:ascii="Times New Roman" w:hAnsi="Times New Roman" w:eastAsia="宋体" w:cs="Times New Roman"/>
                <w:b w:val="0"/>
                <w:color w:val="1F2937"/>
                <w:sz w:val="18"/>
              </w:rPr>
              <w:t>首版正式模板。</w:t>
            </w:r>
          </w:p>
        </w:tc>
      </w:tr>
    </w:tbl>
    <w:p>
      <w:pPr>
        <w:spacing w:before="120" w:after="80" w:line="312" w:lineRule="auto"/>
      </w:pPr>
      <w:r>
        <w:rPr>
          <w:rFonts w:ascii="Times New Roman" w:hAnsi="Times New Roman" w:eastAsia="宋体" w:cs="Times New Roman"/>
          <w:b w:val="0"/>
          <w:color w:val="5B6573"/>
          <w:sz w:val="18"/>
        </w:rPr>
        <w:t>维护规则：许可证版本、字段、编号规则或示例变化时升级版本并同步 SBOM 与发布清单；仅文字修订可升次版本。历史版本由 Git 保留，不在当前下载中继续提供含旧判断的模板。</w:t>
      </w:r>
    </w:p>
    <w:p>
      <w:pPr>
        <w:spacing w:before="80" w:after="80" w:line="312" w:lineRule="auto"/>
      </w:pPr>
      <w:r>
        <w:rPr>
          <w:rFonts w:ascii="Times New Roman" w:hAnsi="Times New Roman" w:eastAsia="宋体" w:cs="Times New Roman"/>
          <w:b/>
          <w:color w:val="8C2F2F"/>
          <w:sz w:val="18"/>
        </w:rPr>
        <w:t>本模板不构成法律意见。使用前请结合公司实际、适用法域和具体许可证文本复核。</w:t>
      </w:r>
    </w:p>
    <w:p>
      <w:r>
        <w:br w:type="page"/>
      </w:r>
    </w:p>
    <w:p>
      <w:pPr>
        <w:pStyle w:val="Heading1"/>
      </w:pPr>
      <w:r>
        <w:t>10 法源与核对索引</w:t>
      </w:r>
    </w:p>
    <w:p>
      <w:r>
        <w:rPr>
          <w:sz w:val="18"/>
        </w:rPr>
        <w:t>核对日期：2026-10-29。S02—S06 在验收时按执行阶段保存的 GNU 官方全文复核；本次官网访问返回 403／超时。Qt 滚动文档不能代替实际版本包审查；组件包核对和技术测试仍须在真实发布前完成。</w:t>
      </w:r>
    </w:p>
    <w:p>
      <w:r>
        <w:rPr>
          <w:sz w:val="16"/>
        </w:rPr>
        <w:t>S01  Apache License 2.0  §3、§4(a)—(d)、§6</w:t>
        <w:br/>
        <w:t>https://www.apache.org/licenses/LICENSE-2.0</w:t>
      </w:r>
    </w:p>
    <w:p>
      <w:r>
        <w:rPr>
          <w:sz w:val="16"/>
        </w:rPr>
        <w:t>S02  GNU General Public License v3.0  §0、§1、§2、§4—§6、§10</w:t>
        <w:br/>
        <w:t>https://www.gnu.org/licenses/gpl-3.0.en.html</w:t>
      </w:r>
    </w:p>
    <w:p>
      <w:r>
        <w:rPr>
          <w:sz w:val="16"/>
        </w:rPr>
        <w:t>S03  GNU General Public License v2.0  §0—§3、§6、§9</w:t>
        <w:br/>
        <w:t>https://www.gnu.org/licenses/old-licenses/gpl-2.0.html</w:t>
      </w:r>
    </w:p>
    <w:p>
      <w:r>
        <w:rPr>
          <w:sz w:val="16"/>
        </w:rPr>
        <w:t>S04  GNU Lesser General Public License v3.0  §0—§2、§4</w:t>
        <w:br/>
        <w:t>https://www.gnu.org/licenses/lgpl-3.0.html</w:t>
      </w:r>
    </w:p>
    <w:p>
      <w:r>
        <w:rPr>
          <w:sz w:val="16"/>
        </w:rPr>
        <w:t>S05  GNU Lesser General Public License v2.1  §2、§4—§6</w:t>
        <w:br/>
        <w:t>https://www.gnu.org/licenses/old-licenses/lgpl-2.1.html</w:t>
      </w:r>
    </w:p>
    <w:p>
      <w:r>
        <w:rPr>
          <w:sz w:val="16"/>
        </w:rPr>
        <w:t>S06  GNU Affero General Public License v3.0  §0、§1、§4—§6、§13</w:t>
        <w:br/>
        <w:t>https://www.gnu.org/licenses/agpl-3.0.html</w:t>
      </w:r>
    </w:p>
    <w:p>
      <w:r>
        <w:rPr>
          <w:sz w:val="16"/>
        </w:rPr>
        <w:t>S07  Qt Open Source Obligations  「Developing with LGPL」全节；第三方许可说明</w:t>
        <w:br/>
        <w:t>https://www.qt.io/development/open-source-lgpl-obligations</w:t>
      </w:r>
    </w:p>
    <w:p>
      <w:r>
        <w:rPr>
          <w:sz w:val="16"/>
        </w:rPr>
        <w:t>S08  Qt Licensing  许可选项、模块差异、第三方代码、Qt 6.8+ SPDX SBOM</w:t>
        <w:br/>
        <w:t>https://doc.qt.io/qt-6/licensing.html</w:t>
      </w:r>
    </w:p>
    <w:p>
      <w:r>
        <w:rPr>
          <w:sz w:val="16"/>
        </w:rPr>
        <w:t>S09  Qt for Python Commercial Use  商业版包来源、ADP／ADE／DCP／DCE、社区版安装提示</w:t>
        <w:br/>
        <w:t>https://doc.qt.io/qtforpython-6/commercial/index.html</w:t>
      </w:r>
    </w:p>
    <w:p>
      <w:r>
        <w:rPr>
          <w:sz w:val="16"/>
        </w:rPr>
        <w:t>S10  Licenses Used in Qt for Python  第三方组件列表及说明</w:t>
        <w:br/>
        <w:t>https://doc.qt.io/qtforpython-6/licenses.html</w:t>
      </w:r>
    </w:p>
    <w:p>
      <w:r>
        <w:rPr>
          <w:sz w:val="16"/>
        </w:rPr>
        <w:t>S11  MIT License  许可授予与声明保留条件</w:t>
        <w:br/>
        <w:t>https://opensource.org/license/mit</w:t>
      </w:r>
    </w:p>
    <w:p>
      <w:r>
        <w:rPr>
          <w:sz w:val="16"/>
        </w:rPr>
        <w:t>S12  BSD-2-Clause License  第 1、2 条</w:t>
        <w:br/>
        <w:t>https://opensource.org/license/bsd-2-clause</w:t>
      </w:r>
    </w:p>
    <w:p>
      <w:r>
        <w:rPr>
          <w:sz w:val="16"/>
        </w:rPr>
        <w:t>S13  BSD-3-Clause License  第 1—3 条</w:t>
        <w:br/>
        <w:t>https://opensource.org/license/bsd-3-clause</w:t>
      </w:r>
    </w:p>
    <w:p>
      <w:r>
        <w:rPr>
          <w:sz w:val="16"/>
        </w:rPr>
        <w:t>S14  Qt 6.8 模块许可（各模块页许可章节；页面当前显示 6.8.9，非 6.8.3 包审计）</w:t>
        <w:br/>
        <w:t>https://doc.qt.io/qt-6.8/qtcore-index.html</w:t>
        <w:br/>
        <w:t>https://doc.qt.io/qt-6.8/qtgui-index.html</w:t>
        <w:br/>
        <w:t>https://doc.qt.io/qt-6.8/qtwidgets-index.html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77" w:left="1247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5B6573"/>
        <w:sz w:val="16"/>
      </w:rPr>
      <w:t xml:space="preserve">本模板不构成法律意见　·　第 </w:t>
    </w:r>
    <w:r>
      <w:rPr>
        <w:rFonts w:ascii="Times New Roman" w:hAnsi="Times New Roman" w:eastAsia="宋体" w:cs="Times New Roman"/>
        <w:color w:val="5B6573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 w:cs="Times New Roman"/>
        <w:color w:val="5B6573"/>
        <w:sz w:val="16"/>
      </w:rPr>
      <w:t xml:space="preserve"> 页 / 共 </w:t>
    </w:r>
    <w:r>
      <w:rPr>
        <w:rFonts w:ascii="Times New Roman" w:hAnsi="Times New Roman" w:eastAsia="宋体" w:cs="Times New Roman"/>
        <w:color w:val="5B6573"/>
        <w:sz w:val="16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 w:cs="Times New Roman"/>
        <w:color w:val="5B6573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2" w:color="D0D5DD"/>
      </w:pBdr>
    </w:pPr>
    <w:r>
      <w:rPr>
        <w:rFonts w:ascii="Times New Roman" w:hAnsi="Times New Roman" w:eastAsia="宋体" w:cs="Times New Roman"/>
        <w:color w:val="5B6573"/>
        <w:sz w:val="16"/>
      </w:rPr>
      <w:t>开源软件引入与发布审批表 · v0.2 · 模板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80"/>
    </w:pPr>
    <w:rPr>
      <w:rFonts w:ascii="Times New Roman" w:hAnsi="Times New Roman" w:eastAsia="宋体" w:cs="Times New Roman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开源软件引入与发布审批表 v0.2</dc:title>
  <dc:subject>M02 开源合规</dc:subject>
  <dc:creator/>
  <cp:keywords>开源合规；审批表；SBOM；Qt</cp:keywords>
  <dc:description/>
  <cp:lastModifiedBy/>
  <cp:revision>1</cp:revision>
  <dcterms:created xsi:type="dcterms:W3CDTF">2026-10-29T12:00:00Z</dcterms:created>
  <dcterms:modified xsi:type="dcterms:W3CDTF">2026-10-29T12:00:00Z</dcterms:modified>
  <cp:category>法务模板</cp:category>
</cp:coreProperties>
</file>